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7378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7378700"/>
                    </a:xfrm>
                    <a:prstGeom prst="rect">
                      <a:avLst/>
                    </a:prstGeom>
                    <a:noFill/>
                  </pic:spPr>
                </pic:pic>
              </a:graphicData>
            </a:graphic>
          </wp:anchor>
        </w:drawing>
      </w:r>
    </w:p>
    <w:p>
      <w:pPr>
        <w:spacing w:after="0" w:line="1181" w:lineRule="exact"/>
        <w:rPr>
          <w:sz w:val="24"/>
          <w:szCs w:val="24"/>
          <w:color w:val="auto"/>
        </w:rPr>
      </w:pPr>
    </w:p>
    <w:p>
      <w:pPr>
        <w:sectPr>
          <w:pgSz w:w="11900" w:h="16909"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Jain Rita</w:t>
              </w:r>
            </w:hyperlink>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First Tracks Biotherapeutics,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TRAX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4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tcBorders>
              <w:top w:val="single" w:sz="8" w:color="EEEEEE"/>
            </w:tcBorders>
            <w:vMerge w:val="restart"/>
          </w:tcPr>
          <w:p>
            <w:pPr>
              <w:ind w:left="2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04/20/2026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0"/>
          <w:szCs w:val="20"/>
          <w:color w:val="auto"/>
        </w:rPr>
      </w:pPr>
    </w:p>
    <w:p>
      <w:pPr>
        <w:sectPr>
          <w:pgSz w:w="11900" w:h="16909" w:orient="portrait"/>
          <w:cols w:equalWidth="0" w:num="2">
            <w:col w:w="7680" w:space="60"/>
            <w:col w:w="3340"/>
          </w:cols>
          <w:pgMar w:left="460" w:top="217" w:right="359" w:bottom="0" w:gutter="0" w:footer="0" w:header="0"/>
          <w:type w:val="continuous"/>
        </w:sectPr>
      </w:pP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909"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4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279"/>
              <w:spacing w:after="0"/>
              <w:rPr>
                <w:sz w:val="20"/>
                <w:szCs w:val="20"/>
                <w:color w:val="auto"/>
              </w:rPr>
            </w:pPr>
            <w:r>
              <w:rPr>
                <w:rFonts w:ascii="Times New Roman" w:cs="Times New Roman" w:eastAsia="Times New Roman" w:hAnsi="Times New Roman"/>
                <w:sz w:val="17"/>
                <w:szCs w:val="17"/>
                <w:color w:val="0000FF"/>
              </w:rPr>
              <w:t>11,864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4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04/02/2033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7"/>
              <w:spacing w:after="0" w:line="194" w:lineRule="exact"/>
              <w:rPr>
                <w:sz w:val="20"/>
                <w:szCs w:val="20"/>
                <w:color w:val="auto"/>
              </w:rPr>
            </w:pPr>
            <w:r>
              <w:rPr>
                <w:rFonts w:ascii="Times New Roman" w:cs="Times New Roman" w:eastAsia="Times New Roman" w:hAnsi="Times New Roman"/>
                <w:sz w:val="17"/>
                <w:szCs w:val="17"/>
                <w:color w:val="0000FF"/>
                <w:w w:val="98"/>
              </w:rPr>
              <w:t>10,600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10,600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8,015</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04/02/2033</w:t>
            </w:r>
          </w:p>
        </w:tc>
        <w:tc>
          <w:tcPr>
            <w:tcW w:w="680" w:type="dxa"/>
            <w:vAlign w:val="bottom"/>
          </w:tcPr>
          <w:p>
            <w:pPr>
              <w:jc w:val="center"/>
              <w:ind w:right="2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8,015</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8,015</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7"/>
              <w:spacing w:after="0" w:line="194" w:lineRule="exact"/>
              <w:rPr>
                <w:sz w:val="20"/>
                <w:szCs w:val="20"/>
                <w:color w:val="auto"/>
              </w:rPr>
            </w:pPr>
            <w:r>
              <w:rPr>
                <w:rFonts w:ascii="Times New Roman" w:cs="Times New Roman" w:eastAsia="Times New Roman" w:hAnsi="Times New Roman"/>
                <w:sz w:val="17"/>
                <w:szCs w:val="17"/>
                <w:color w:val="0000FF"/>
                <w:w w:val="98"/>
              </w:rPr>
              <w:t>16,510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16,510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340" w:type="dxa"/>
            <w:vAlign w:val="bottom"/>
          </w:tcPr>
          <w:p>
            <w:pPr>
              <w:spacing w:after="0"/>
              <w:rPr>
                <w:sz w:val="16"/>
                <w:szCs w:val="16"/>
                <w:color w:val="auto"/>
              </w:rPr>
            </w:pPr>
          </w:p>
        </w:tc>
        <w:tc>
          <w:tcPr>
            <w:tcW w:w="760" w:type="dxa"/>
            <w:vAlign w:val="bottom"/>
            <w:gridSpan w:val="2"/>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01/06/2035</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ind w:right="7"/>
              <w:spacing w:after="0" w:line="194" w:lineRule="exact"/>
              <w:rPr>
                <w:sz w:val="20"/>
                <w:szCs w:val="20"/>
                <w:color w:val="auto"/>
              </w:rPr>
            </w:pPr>
            <w:r>
              <w:rPr>
                <w:rFonts w:ascii="Times New Roman" w:cs="Times New Roman" w:eastAsia="Times New Roman" w:hAnsi="Times New Roman"/>
                <w:sz w:val="17"/>
                <w:szCs w:val="17"/>
                <w:color w:val="0000FF"/>
                <w:w w:val="98"/>
              </w:rPr>
              <w:t>16,510</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16,510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2"/>
                <w:szCs w:val="12"/>
                <w:color w:val="auto"/>
              </w:rPr>
            </w:pPr>
          </w:p>
        </w:tc>
        <w:tc>
          <w:tcPr>
            <w:tcW w:w="74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5,500</w:t>
            </w:r>
          </w:p>
        </w:tc>
        <w:tc>
          <w:tcPr>
            <w:tcW w:w="340" w:type="dxa"/>
            <w:vAlign w:val="bottom"/>
          </w:tcPr>
          <w:p>
            <w:pPr>
              <w:spacing w:after="0"/>
              <w:rPr>
                <w:sz w:val="12"/>
                <w:szCs w:val="12"/>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01/06/2036</w:t>
            </w:r>
          </w:p>
        </w:tc>
        <w:tc>
          <w:tcPr>
            <w:tcW w:w="680" w:type="dxa"/>
            <w:vAlign w:val="bottom"/>
          </w:tcPr>
          <w:p>
            <w:pPr>
              <w:jc w:val="center"/>
              <w:ind w:right="2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5,500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5,500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5"/>
                <w:szCs w:val="15"/>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1,300</w:t>
            </w:r>
          </w:p>
        </w:tc>
        <w:tc>
          <w:tcPr>
            <w:tcW w:w="340" w:type="dxa"/>
            <w:vAlign w:val="bottom"/>
          </w:tcPr>
          <w:p>
            <w:pPr>
              <w:spacing w:after="0"/>
              <w:rPr>
                <w:sz w:val="15"/>
                <w:szCs w:val="15"/>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(7)</w:t>
            </w:r>
          </w:p>
        </w:tc>
        <w:tc>
          <w:tcPr>
            <w:tcW w:w="200" w:type="dxa"/>
            <w:vAlign w:val="bottom"/>
          </w:tcPr>
          <w:p>
            <w:pPr>
              <w:spacing w:after="0"/>
              <w:rPr>
                <w:sz w:val="15"/>
                <w:szCs w:val="15"/>
                <w:color w:val="auto"/>
              </w:rPr>
            </w:pPr>
          </w:p>
        </w:tc>
        <w:tc>
          <w:tcPr>
            <w:tcW w:w="500" w:type="dxa"/>
            <w:vAlign w:val="bottom"/>
            <w:vMerge w:val="restart"/>
          </w:tcPr>
          <w:p>
            <w:pPr>
              <w:jc w:val="center"/>
              <w:ind w:right="164"/>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1,300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1,300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5"/>
                <w:szCs w:val="15"/>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6,030</w:t>
            </w:r>
          </w:p>
        </w:tc>
        <w:tc>
          <w:tcPr>
            <w:tcW w:w="340" w:type="dxa"/>
            <w:vAlign w:val="bottom"/>
          </w:tcPr>
          <w:p>
            <w:pPr>
              <w:spacing w:after="0"/>
              <w:rPr>
                <w:sz w:val="15"/>
                <w:szCs w:val="15"/>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(8)</w:t>
            </w:r>
          </w:p>
        </w:tc>
        <w:tc>
          <w:tcPr>
            <w:tcW w:w="200" w:type="dxa"/>
            <w:vAlign w:val="bottom"/>
          </w:tcPr>
          <w:p>
            <w:pPr>
              <w:spacing w:after="0"/>
              <w:rPr>
                <w:sz w:val="15"/>
                <w:szCs w:val="15"/>
                <w:color w:val="auto"/>
              </w:rPr>
            </w:pPr>
          </w:p>
        </w:tc>
        <w:tc>
          <w:tcPr>
            <w:tcW w:w="500" w:type="dxa"/>
            <w:vAlign w:val="bottom"/>
            <w:vMerge w:val="restart"/>
          </w:tcPr>
          <w:p>
            <w:pPr>
              <w:jc w:val="center"/>
              <w:ind w:right="164"/>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6,030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6,030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140" w:type="dxa"/>
            <w:vAlign w:val="bottom"/>
          </w:tcPr>
          <w:p>
            <w:pPr>
              <w:spacing w:after="0"/>
              <w:rPr>
                <w:sz w:val="15"/>
                <w:szCs w:val="15"/>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4,000</w:t>
            </w:r>
          </w:p>
        </w:tc>
        <w:tc>
          <w:tcPr>
            <w:tcW w:w="340" w:type="dxa"/>
            <w:vAlign w:val="bottom"/>
          </w:tcPr>
          <w:p>
            <w:pPr>
              <w:spacing w:after="0"/>
              <w:rPr>
                <w:sz w:val="15"/>
                <w:szCs w:val="15"/>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(9)</w:t>
            </w:r>
          </w:p>
        </w:tc>
        <w:tc>
          <w:tcPr>
            <w:tcW w:w="200" w:type="dxa"/>
            <w:vAlign w:val="bottom"/>
          </w:tcPr>
          <w:p>
            <w:pPr>
              <w:spacing w:after="0"/>
              <w:rPr>
                <w:sz w:val="15"/>
                <w:szCs w:val="15"/>
                <w:color w:val="auto"/>
              </w:rPr>
            </w:pPr>
          </w:p>
        </w:tc>
        <w:tc>
          <w:tcPr>
            <w:tcW w:w="500" w:type="dxa"/>
            <w:vAlign w:val="bottom"/>
            <w:vMerge w:val="restart"/>
          </w:tcPr>
          <w:p>
            <w:pPr>
              <w:jc w:val="center"/>
              <w:ind w:right="164"/>
              <w:spacing w:after="0"/>
              <w:rPr>
                <w:sz w:val="20"/>
                <w:szCs w:val="20"/>
                <w:color w:val="auto"/>
              </w:rPr>
            </w:pPr>
            <w:r>
              <w:rPr>
                <w:rFonts w:ascii="Times New Roman" w:cs="Times New Roman" w:eastAsia="Times New Roman" w:hAnsi="Times New Roman"/>
                <w:sz w:val="11"/>
                <w:szCs w:val="11"/>
                <w:color w:val="008000"/>
                <w:w w:val="93"/>
              </w:rPr>
              <w:t>(9)</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4,000</w:t>
            </w: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4,000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-4654550</wp:posOffset>
            </wp:positionV>
            <wp:extent cx="29210" cy="4660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466026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of common stock received in connection with the spin-off of First Tracks Biotherapeutics, Inc. ("First Tracks") from AnaptysBio, Inc. ("AnaptysBio").</w:t>
      </w:r>
    </w:p>
    <w:p>
      <w:pPr>
        <w:spacing w:after="0" w:line="43" w:lineRule="exact"/>
        <w:rPr>
          <w:rFonts w:ascii="Times New Roman" w:cs="Times New Roman" w:eastAsia="Times New Roman" w:hAnsi="Times New Roman"/>
          <w:sz w:val="13"/>
          <w:szCs w:val="13"/>
          <w:color w:val="008000"/>
        </w:rPr>
      </w:pPr>
    </w:p>
    <w:p>
      <w:pPr>
        <w:ind w:left="40" w:right="3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and Distribution Agreement dated as of April 20, 2026, by and between AnaptysBio and 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First Tracks shares of common stock in an amount determined in accordance with the Separation Agreement.</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1/12 of the total shares monthly commencing on February 6, 2026 until fully vested,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3" w:lineRule="exact"/>
        <w:rPr>
          <w:rFonts w:ascii="Times New Roman" w:cs="Times New Roman" w:eastAsia="Times New Roman" w:hAnsi="Times New Roman"/>
          <w:sz w:val="13"/>
          <w:szCs w:val="13"/>
          <w:color w:val="008000"/>
        </w:rPr>
      </w:pPr>
    </w:p>
    <w:p>
      <w:pPr>
        <w:jc w:val="both"/>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a pro rata distribution by AnaptysBio to holders of its shares of common stock pursuant to the Separation Agreement, each outstanding RSU with respect to AnaptysBio shares of common stock was adjusted so that such RSU became an RSU with respect to First Tracks shares of common stock and an RSU with respect to AnaptysBio's shares of common stock. As a result, the Reporting Person acquired RSU s with respect to First Tracks shares of common stock in an amount determined in accordance with the Separation Agreement.</w:t>
      </w:r>
    </w:p>
    <w:p>
      <w:pPr>
        <w:sectPr>
          <w:pgSz w:w="11900" w:h="16909" w:orient="portrait"/>
          <w:cols w:equalWidth="0" w:num="1">
            <w:col w:w="11080"/>
          </w:cols>
          <w:pgMar w:left="460" w:top="217" w:right="359" w:bottom="0" w:gutter="0" w:footer="0" w:header="0"/>
          <w:type w:val="continuous"/>
        </w:sectPr>
      </w:pPr>
    </w:p>
    <w:bookmarkStart w:id="1" w:name="page2"/>
    <w:bookmarkEnd w:id="1"/>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as to 33.33% of the total shares on June 15, 2024, and thereafter vests as to 33.33% of the total RSUs on June 15, 2025; and as to 33.33% of the total RSUs on June 15, 2026, subject to the provision of services to the Company on each vesting date.</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100% of the total RSUs on the date of the Issuer's 2026 annual meeting of shareholders,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100% of the total RSUs on the date of the Issuer's 2027 annual meeting of shareholders, subject to the Reporting Person's provision of service to the Issuer on each vesting date.</w:t>
      </w:r>
    </w:p>
    <w:p>
      <w:pPr>
        <w:spacing w:after="0" w:line="3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Ajim Tamboli,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6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65"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19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Dan Faga, Ajim Tamboli and Dave McKeon, and each of them, her true and lawful attorney-in-fact to:</w:t>
      </w:r>
    </w:p>
    <w:p>
      <w:pPr>
        <w:spacing w:after="0" w:line="129" w:lineRule="exact"/>
        <w:rPr>
          <w:sz w:val="20"/>
          <w:szCs w:val="20"/>
          <w:color w:val="auto"/>
        </w:rPr>
      </w:pPr>
    </w:p>
    <w:p>
      <w:pPr>
        <w:jc w:val="both"/>
        <w:ind w:firstLine="622"/>
        <w:spacing w:after="0" w:line="255" w:lineRule="auto"/>
        <w:tabs>
          <w:tab w:leader="none" w:pos="1212"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representative of First Tracks Biotherapeutics, Inc.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and the rules thereunder with respect to transactions in securities of the Company;</w:t>
      </w:r>
    </w:p>
    <w:p>
      <w:pPr>
        <w:spacing w:after="0" w:line="154" w:lineRule="exact"/>
        <w:rPr>
          <w:rFonts w:ascii="Times New Roman" w:cs="Times New Roman" w:eastAsia="Times New Roman" w:hAnsi="Times New Roman"/>
          <w:sz w:val="19"/>
          <w:szCs w:val="19"/>
          <w:color w:val="auto"/>
        </w:rPr>
      </w:pPr>
    </w:p>
    <w:p>
      <w:pPr>
        <w:jc w:val="both"/>
        <w:ind w:firstLine="622"/>
        <w:spacing w:after="0" w:line="255" w:lineRule="auto"/>
        <w:tabs>
          <w:tab w:leader="none" w:pos="1212"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54" w:lineRule="exact"/>
        <w:rPr>
          <w:rFonts w:ascii="Times New Roman" w:cs="Times New Roman" w:eastAsia="Times New Roman" w:hAnsi="Times New Roman"/>
          <w:sz w:val="19"/>
          <w:szCs w:val="19"/>
          <w:color w:val="auto"/>
        </w:rPr>
      </w:pPr>
    </w:p>
    <w:p>
      <w:pPr>
        <w:jc w:val="both"/>
        <w:ind w:firstLine="622"/>
        <w:spacing w:after="0" w:line="250" w:lineRule="auto"/>
        <w:tabs>
          <w:tab w:leader="none" w:pos="1212"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47"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6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14</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April, 2026.</w:t>
      </w:r>
    </w:p>
    <w:p>
      <w:pPr>
        <w:spacing w:after="0" w:line="200" w:lineRule="exact"/>
        <w:rPr>
          <w:sz w:val="20"/>
          <w:szCs w:val="20"/>
          <w:color w:val="auto"/>
        </w:rPr>
      </w:pPr>
    </w:p>
    <w:p>
      <w:pPr>
        <w:spacing w:after="0" w:line="2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/s/ Rita Jain</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Name: Rita Jain</w:t>
      </w:r>
    </w:p>
    <w:sectPr>
      <w:pgSz w:w="11900" w:h="16838" w:orient="portrait"/>
      <w:cols w:equalWidth="0" w:num="1">
        <w:col w:w="10980"/>
      </w:cols>
      <w:pgMar w:left="460" w:top="3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7"/>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7797" TargetMode="External"/><Relationship Id="rId14"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2026-04-22T15:13:25Z</dcterms:created>
  <dcterms:modified xsi:type="dcterms:W3CDTF">2026-04-22T15:13:25Z</dcterms:modified>
</cp:coreProperties>
</file>