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First Tracks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Affinity Asset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2,032,012.00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2,032,012.00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2,032,012.00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Cho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2,032,012.00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2,032,012.00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2,032,012.00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First Tracks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10770 Wateridge Circle, Suite 210, San Diego, California, 92121</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Affinity Asset Advisors, LLC Michael Cho</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 Park Avenue Suite 1403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Affinity Asset Advisors, LLC is a Delaware limited liability company, and Michael Cho is an individual and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securities reported herein are directly held by Affinity Healthcare Fund, LP (the "Fund"). Affinity Asset Advisors, LLC (the "Adviser") is the investment manager of the Fund and exercises voting and investment power over the securities held directly by the Fund reported herein pursuant to an investment management agreement between the Adviser, the Fund, and the general partner of the Fund. The Adviser may be deemed to beneficially own the securities reported herein held by the Fund by virtue of its position as investment manager of the Fund. Michael Cho, the managing member of the Adviser, may be deemed a beneficial owner of the securities reported herein held directly by the Fund. As of June 30, 2026, the Adviser and Mr. Cho (collectively, the "Reporting Persons") beneficially own 2,032,012 shares of common stock, par value $0.001 per share ("Common Stock"), of First Tracks Biotherapeutics, Inc. (the "Issuer").</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the Reporting Persons beneficially own approximately 5.8% of the Common Stock outstanding The percentages disclosed above are based on 34,892,381 shares of Common Stock of the Issuer outstanding as of May 12, 2026, as set forth in the Issuer's Form 10-Q filed with the Securities and Exchange Commission on May 14, 2026.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the Reporting Persons have sole power to vote or to direct the vote of 2,032,012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the Reporting Persons have shared power to vote or to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the Reporting Persons have sole power to dispose or to direct the disposition of 2,032,012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the Reporting Persons have shared power to dispose or to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Affinity Asset Advisors, LLC</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Andrew Weinstein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Andrew Weinstein, Chief Financial Officer and Chief 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Michael Cho</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Cho</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Cho, Self</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bookmarkStart w:id="20" w:name="exhibit_99-1.htm"/>
      <w:bookmarkStart w:id="21" w:name="ksexhibit_991"/>
      <w:bookmarkStart w:id="22" w:name="exhibit_99-1.htm"/>
      <w:bookmarkStart w:id="23" w:name="ksexhibit_991"/>
      <w:bookmarkEnd w:id="22"/>
      <w:bookmarkEnd w:id="23"/>
      <w:r>
        <w:br w:type="page"/>
      </w:r>
    </w:p>
    <w:p>
      <w:pPr>
        <w:pStyle w:val="TextBody"/>
        <w:bidi w:val="0"/>
        <w:spacing w:before="0" w:after="0"/>
        <w:jc w:val="right"/>
        <w:rPr>
          <w:rFonts w:ascii="Times New Roman;Times;serif" w:hAnsi="Times New Roman;Times;serif"/>
          <w:b/>
          <w:color w:val="000000"/>
          <w:sz w:val="24"/>
        </w:rPr>
      </w:pPr>
      <w:r>
        <w:rPr>
          <w:rFonts w:ascii="Times New Roman;Times;serif" w:hAnsi="Times New Roman;Times;serif"/>
          <w:b/>
          <w:color w:val="000000"/>
          <w:sz w:val="24"/>
        </w:rPr>
        <w:t>EXHIBIT 99.1</w:t>
      </w:r>
    </w:p>
    <w:p>
      <w:pPr>
        <w:pStyle w:val="TextBody"/>
        <w:bidi w:val="0"/>
        <w:spacing w:before="0" w:after="120"/>
        <w:jc w:val="center"/>
        <w:rPr>
          <w:rFonts w:ascii="Times New Roman;Times;serif" w:hAnsi="Times New Roman;Times;serif"/>
          <w:b/>
          <w:color w:val="000000"/>
          <w:sz w:val="24"/>
        </w:rPr>
      </w:pPr>
      <w:r>
        <w:rPr>
          <w:rFonts w:ascii="Times New Roman;Times;serif" w:hAnsi="Times New Roman;Times;serif"/>
          <w:b/>
          <w:color w:val="000000"/>
          <w:sz w:val="24"/>
        </w:rPr>
        <w:t>JOINT FILING AGREEMENT</w:t>
        <w:br/>
        <w:t>PURSUANT TO RULE 13d-1(k)</w:t>
      </w:r>
    </w:p>
    <w:p>
      <w:pPr>
        <w:pStyle w:val="TextBody"/>
        <w:bidi w:val="0"/>
        <w:spacing w:before="0" w:after="240"/>
        <w:jc w:val="both"/>
        <w:rPr>
          <w:rFonts w:ascii="Times New Roman;Times;serif" w:hAnsi="Times New Roman;Times;serif"/>
          <w:color w:val="000000"/>
          <w:sz w:val="24"/>
        </w:rPr>
      </w:pPr>
      <w:r>
        <w:rPr>
          <w:rFonts w:ascii="Times New Roman;Times;serif" w:hAnsi="Times New Roman;Times;serif"/>
          <w:color w:val="000000"/>
          <w:sz w:val="24"/>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DATED: August 13, 2026</w:t>
      </w:r>
    </w:p>
    <w:p>
      <w:pPr>
        <w:pStyle w:val="Normal"/>
        <w:bidi w:val="0"/>
        <w:spacing w:before="0" w:after="0"/>
        <w:jc w:val="left"/>
        <w:rPr>
          <w:sz w:val="4"/>
          <w:szCs w:val="4"/>
        </w:rPr>
      </w:pPr>
      <w:r>
        <w:rPr>
          <w:sz w:val="4"/>
          <w:szCs w:val="4"/>
        </w:rPr>
      </w:r>
      <w:bookmarkStart w:id="24" w:name="z85760257e84146d29dcec1ee4fcb780b"/>
      <w:bookmarkStart w:id="25" w:name="z85760257e84146d29dcec1ee4fcb780b"/>
      <w:bookmarkEnd w:id="25"/>
    </w:p>
    <w:tbl>
      <w:tblPr>
        <w:tblW w:w="5875" w:type="dxa"/>
        <w:jc w:val="left"/>
        <w:tblInd w:w="0" w:type="dxa"/>
        <w:tblLayout w:type="fixed"/>
        <w:tblCellMar>
          <w:top w:w="0" w:type="dxa"/>
          <w:left w:w="0" w:type="dxa"/>
          <w:bottom w:w="0" w:type="dxa"/>
          <w:right w:w="0" w:type="dxa"/>
        </w:tblCellMar>
      </w:tblPr>
      <w:tblGrid>
        <w:gridCol w:w="665"/>
        <w:gridCol w:w="60"/>
        <w:gridCol w:w="5150"/>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 </w:t>
            </w:r>
          </w:p>
        </w:tc>
      </w:tr>
      <w:tr>
        <w:trPr/>
        <w:tc>
          <w:tcPr>
            <w:tcW w:w="5875" w:type="dxa"/>
            <w:gridSpan w:val="3"/>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AFFINITY ASSET ADVISORS, LLC</w:t>
            </w:r>
          </w:p>
        </w:tc>
      </w:tr>
      <w:tr>
        <w:trPr/>
        <w:tc>
          <w:tcPr>
            <w:tcW w:w="665" w:type="dxa"/>
            <w:tcBorders/>
            <w:vAlign w:val="center"/>
          </w:tcPr>
          <w:p>
            <w:pPr>
              <w:pStyle w:val="TableContents"/>
              <w:bidi w:val="0"/>
              <w:spacing w:before="0" w:after="283"/>
              <w:jc w:val="left"/>
              <w:rPr/>
            </w:pPr>
            <w:r>
              <w:rPr/>
              <w:t> </w:t>
            </w:r>
          </w:p>
        </w:tc>
        <w:tc>
          <w:tcPr>
            <w:tcW w:w="521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By:</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15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Andrew Weinstein</w:t>
            </w:r>
          </w:p>
        </w:tc>
      </w:tr>
      <w:tr>
        <w:trPr/>
        <w:tc>
          <w:tcPr>
            <w:tcW w:w="66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w:t>
            </w:r>
          </w:p>
        </w:tc>
        <w:tc>
          <w:tcPr>
            <w:tcW w:w="6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Andrew Weinstein</w:t>
            </w:r>
          </w:p>
        </w:tc>
      </w:tr>
      <w:tr>
        <w:trPr/>
        <w:tc>
          <w:tcPr>
            <w:tcW w:w="66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Title:</w:t>
            </w:r>
          </w:p>
        </w:tc>
        <w:tc>
          <w:tcPr>
            <w:tcW w:w="6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Chief Financial Officer and Chief Compliance Officer</w:t>
            </w:r>
          </w:p>
        </w:tc>
      </w:tr>
      <w:tr>
        <w:trPr/>
        <w:tc>
          <w:tcPr>
            <w:tcW w:w="5875" w:type="dxa"/>
            <w:gridSpan w:val="3"/>
            <w:tcBorders/>
            <w:vAlign w:val="center"/>
          </w:tcPr>
          <w:p>
            <w:pPr>
              <w:pStyle w:val="TableContents"/>
              <w:bidi w:val="0"/>
              <w:spacing w:before="0" w:after="283"/>
              <w:jc w:val="left"/>
              <w:rPr/>
            </w:pPr>
            <w:r>
              <w:rPr/>
              <w:t> </w:t>
            </w:r>
          </w:p>
        </w:tc>
      </w:tr>
      <w:tr>
        <w:trPr/>
        <w:tc>
          <w:tcPr>
            <w:tcW w:w="5875" w:type="dxa"/>
            <w:gridSpan w:val="3"/>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MICHAEL CHO</w:t>
            </w:r>
          </w:p>
        </w:tc>
      </w:tr>
      <w:tr>
        <w:trPr/>
        <w:tc>
          <w:tcPr>
            <w:tcW w:w="665" w:type="dxa"/>
            <w:tcBorders/>
            <w:vAlign w:val="center"/>
          </w:tcPr>
          <w:p>
            <w:pPr>
              <w:pStyle w:val="TableContents"/>
              <w:bidi w:val="0"/>
              <w:spacing w:before="0" w:after="283"/>
              <w:jc w:val="left"/>
              <w:rPr/>
            </w:pPr>
            <w:r>
              <w:rPr/>
              <w:t> </w:t>
            </w:r>
          </w:p>
        </w:tc>
        <w:tc>
          <w:tcPr>
            <w:tcW w:w="521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By:</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15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Michael Cho</w:t>
            </w:r>
          </w:p>
        </w:tc>
      </w:tr>
      <w:tr>
        <w:trPr/>
        <w:tc>
          <w:tcPr>
            <w:tcW w:w="66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w:t>
            </w:r>
          </w:p>
        </w:tc>
        <w:tc>
          <w:tcPr>
            <w:tcW w:w="6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Michael Cho</w:t>
            </w:r>
          </w:p>
        </w:tc>
      </w:tr>
      <w:tr>
        <w:trPr/>
        <w:tc>
          <w:tcPr>
            <w:tcW w:w="66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Title:</w:t>
            </w:r>
          </w:p>
        </w:tc>
        <w:tc>
          <w:tcPr>
            <w:tcW w:w="60"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Self</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1344</Words>
  <Characters>6909</Characters>
  <CharactersWithSpaces>8220</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