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First Tracks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1,447,652.00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1,447,652.00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1,447,652.00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34,892,381 shares of Common Stock outstanding as of May 12, 2026, as reported by the Issuer (as defined in Item 1(a) below) in its quarterly report filed with the Securities and Exchange Commission (the Commission) on May 14,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1,447,652.00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1,447,652.00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1,447,652.00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34,892,381 shares of Common Stock outstanding as of May 12,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1,447,652.00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1,447,652.00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1,447,652.00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(as defined in Item 2(a) below).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34,892,381 shares of Common Stock outstanding as of May 12,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1,447,652.00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1,447,652.00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1,447,652.00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34,892,381 shares of Common Stock outstanding as of May 12,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2,895,304.00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2,895,304.00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2,895,304.00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1,447,652 shares of Common Stock held of record by TCG Crossover II and (ii) 1,447,652 shares of Common Stock held of record by TCG Crossover III.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Based on 34,892,381 shares of Common Stock outstanding as of May 12,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First Tracks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joint statement on Schedule 13G is being filed by TCG Crossover Fund II, L.P. (TCG Crossover II), TCG Crossover GP II, LLC (TCG Crossover GP II), TCG Crossover Fund III, L.P. (TCG Crossover III) and TCG Crossover GP III, LLC (TCG Crossover GP III and together with TCG Crossover II, TCG Crossover GP II and TCG Crossover III,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and TCG Crossover GP II are each a limited liability company organized under the laws of the State of Delaware. TCG Crossover II and TCG Crossover III are each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TCG Crossover II and TCG Crossover III and the limited liability company agreements of TCG Crossover GP II and TCG Crossover GP III,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TCG Crossover GP III,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TCG Crossover Fund III,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2482</Words>
  <Characters>12454</Characters>
  <CharactersWithSpaces>14850</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