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63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6316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Lizzul Paul F.</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First Tracks Biotherapeutics,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TRAX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05/12/2026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10770 WATERIDGE CIRCLE, SUITE 210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12"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20"/>
                <w:szCs w:val="20"/>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05/12/2026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26,700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26,700</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26,700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72,300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restart"/>
          </w:tcPr>
          <w:p>
            <w:pPr>
              <w:jc w:val="center"/>
              <w:ind w:right="142"/>
              <w:spacing w:after="0"/>
              <w:rPr>
                <w:sz w:val="20"/>
                <w:szCs w:val="20"/>
                <w:color w:val="auto"/>
              </w:rPr>
            </w:pPr>
            <w:r>
              <w:rPr>
                <w:rFonts w:ascii="Times New Roman" w:cs="Times New Roman" w:eastAsia="Times New Roman" w:hAnsi="Times New Roman"/>
                <w:sz w:val="13"/>
                <w:szCs w:val="13"/>
                <w:color w:val="0000FF"/>
              </w:rPr>
              <w:t>72,300</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17.81</w:t>
            </w: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05/12/2026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72,300</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gridSpan w:val="2"/>
          </w:tcPr>
          <w:p>
            <w:pPr>
              <w:jc w:val="right"/>
              <w:ind w:right="3"/>
              <w:spacing w:after="0" w:line="142" w:lineRule="exact"/>
              <w:rPr>
                <w:sz w:val="20"/>
                <w:szCs w:val="20"/>
                <w:color w:val="auto"/>
              </w:rPr>
            </w:pPr>
            <w:r>
              <w:rPr>
                <w:rFonts w:ascii="Times New Roman" w:cs="Times New Roman" w:eastAsia="Times New Roman" w:hAnsi="Times New Roman"/>
                <w:sz w:val="13"/>
                <w:szCs w:val="13"/>
                <w:color w:val="0000FF"/>
              </w:rPr>
              <w:t>05/11/2036</w:t>
            </w:r>
          </w:p>
        </w:tc>
        <w:tc>
          <w:tcPr>
            <w:tcW w:w="6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May 12, 2027 until fully vested,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25% of the total shares on May 12, 2027, and thereafter vests as to 1/48 of the total shares monthly until fully vested, subject to the Reporting Person's provision of service to the Issuer on each vesting date.</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options to purchase a total of 72,300 shares of common stock as set forth in Table II, the Reporting Person also holds additional options to purchase up to an aggregate of 507,310 shares of common stock, which options vest according to their terms.</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Ajim Tamboli,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05/14/2026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11462" TargetMode="External"/><Relationship Id="rId14" Type="http://schemas.openxmlformats.org/officeDocument/2006/relationships/hyperlink" Target="http://www.sec.gov/cgi-bin/browse-edgar?action=getcompany&amp;CIK=00020913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2026-05-14T15:15:48Z</dcterms:created>
  <dcterms:modified xsi:type="dcterms:W3CDTF">2026-05-14T15:15:48Z</dcterms:modified>
</cp:coreProperties>
</file>