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First Tracks Biotherapeutics,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Sirenia Capital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2,495,777.00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2,495,777.00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2,495,777.00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Alex Silverstein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2,495,777.00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2,495,777.00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2,495,777.00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6"/>
        <w:gridCol w:w="8904"/>
        <w:gridCol w:w="155"/>
      </w:tblGrid>
      <w:tr>
        <w:trPr/>
        <w:tc>
          <w:tcPr>
            <w:tcW w:w="1146" w:type="dxa"/>
            <w:tcBorders/>
            <w:vAlign w:val="center"/>
          </w:tcPr>
          <w:p>
            <w:pPr>
              <w:pStyle w:val="TableContents"/>
              <w:bidi w:val="0"/>
              <w:spacing w:before="0" w:after="283"/>
              <w:jc w:val="left"/>
              <w:rPr/>
            </w:pPr>
            <w:r>
              <w:rPr/>
              <w:t>Item 1.</w:t>
            </w:r>
          </w:p>
        </w:tc>
        <w:tc>
          <w:tcPr>
            <w:tcW w:w="890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(a)</w:t>
            </w:r>
          </w:p>
        </w:tc>
        <w:tc>
          <w:tcPr>
            <w:tcW w:w="8904" w:type="dxa"/>
            <w:tcBorders/>
            <w:vAlign w:val="center"/>
          </w:tcPr>
          <w:p>
            <w:pPr>
              <w:pStyle w:val="TableContents"/>
              <w:bidi w:val="0"/>
              <w:jc w:val="left"/>
              <w:rPr/>
            </w:pPr>
            <w:r>
              <w:rPr/>
              <w:t xml:space="preserve">Name of issuer: </w:t>
            </w:r>
          </w:p>
          <w:p>
            <w:pPr>
              <w:pStyle w:val="TableContents"/>
              <w:bidi w:val="0"/>
              <w:spacing w:before="0" w:after="0"/>
              <w:jc w:val="left"/>
              <w:rPr/>
            </w:pPr>
            <w:r>
              <w:rPr/>
              <w:t>First Tracks Biotherapeutics, Inc.</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(b)</w:t>
            </w:r>
          </w:p>
        </w:tc>
        <w:tc>
          <w:tcPr>
            <w:tcW w:w="890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10770 Wateridge Circle, Suite 210, San Diego, CA 92121</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2.</w:t>
            </w:r>
          </w:p>
        </w:tc>
        <w:tc>
          <w:tcPr>
            <w:tcW w:w="890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(a)</w:t>
            </w:r>
          </w:p>
        </w:tc>
        <w:tc>
          <w:tcPr>
            <w:tcW w:w="890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Sirenia Capital Management LP ("Sirenia") with respect to the common stock, par value $0.001 per share ("Common Stock"), of First Tracks Biotherapeutics, Inc. (the "Issuer") held by investment funds it manages (the "Sirenia Funds") and a managed account it manages (the "Sirenia Account"); and (ii) Alex Silverstein ("Mr. Silverstein"), the managing member of Sirenia Capital Management GP LLC, the general partner of Sirenia, with respect to the Common Stock held by the Sirenia Funds and Sirenia Account. The foregoing persons are hereinafter sometimes collectively referred to as the "Reporting Persons." The filing of this statement should not be construed as an admission that any of the foregoing persons or any Reporting Person is, for the purposes of Section 13 of the Securities Exchange Act of 1934 (the "Act"), the beneficial owner of the securities reported herein. Sirenia and Mr. Silverstein have entered into a Joint Filing Agreement, a copy of which is filed with this Schedule 13G as Exhibit 99.1, pursuant to which they have agreed to file this Schedule 13G jointly in accordance with the provisions of Rule 13d-1(k) of the Act.</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(b)</w:t>
            </w:r>
          </w:p>
        </w:tc>
        <w:tc>
          <w:tcPr>
            <w:tcW w:w="890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Sirenia and Mr. Silverstein is 1674 Meridian Avenue, Suite 320, Miami Beach, FL 33139.</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(c)</w:t>
            </w:r>
          </w:p>
        </w:tc>
        <w:tc>
          <w:tcPr>
            <w:tcW w:w="8904" w:type="dxa"/>
            <w:tcBorders/>
            <w:vAlign w:val="center"/>
          </w:tcPr>
          <w:p>
            <w:pPr>
              <w:pStyle w:val="TableContents"/>
              <w:bidi w:val="0"/>
              <w:jc w:val="left"/>
              <w:rPr/>
            </w:pPr>
            <w:r>
              <w:rPr/>
              <w:t xml:space="preserve">Citizenship: </w:t>
            </w:r>
          </w:p>
          <w:p>
            <w:pPr>
              <w:pStyle w:val="TableContents"/>
              <w:bidi w:val="0"/>
              <w:spacing w:before="0" w:after="0"/>
              <w:jc w:val="left"/>
              <w:rPr/>
            </w:pPr>
            <w:r>
              <w:rPr/>
              <w:t>Sirenia is a Delaware limited partnership. Mr. Silverstein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(d)</w:t>
            </w:r>
          </w:p>
        </w:tc>
        <w:tc>
          <w:tcPr>
            <w:tcW w:w="890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(e)</w:t>
            </w:r>
          </w:p>
        </w:tc>
        <w:tc>
          <w:tcPr>
            <w:tcW w:w="890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3.</w:t>
            </w:r>
          </w:p>
        </w:tc>
        <w:tc>
          <w:tcPr>
            <w:tcW w:w="890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(a)</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(b)</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(c)</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(d)</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(e)</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(f)</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(g)</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(h)</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(j)</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(k)</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9059" w:type="dxa"/>
            <w:gridSpan w:val="2"/>
            <w:tcBorders/>
            <w:vAlign w:val="center"/>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4.</w:t>
            </w:r>
          </w:p>
        </w:tc>
        <w:tc>
          <w:tcPr>
            <w:tcW w:w="890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(a)</w:t>
            </w:r>
          </w:p>
        </w:tc>
        <w:tc>
          <w:tcPr>
            <w:tcW w:w="890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The percentage set forth in this Schedule 13G is calculated based upon an aggregate of 34,892,381 shares of Common Stock outstanding as of May 12, 2026, as reported in the Issuer's Quarterly Report on Form 10-Q for the quarterly period ended March 31, 2026, filed with the Securities and Exchange Commission on May 14, 2026.</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(b)</w:t>
            </w:r>
          </w:p>
        </w:tc>
        <w:tc>
          <w:tcPr>
            <w:tcW w:w="890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7.2%  %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(c)</w:t>
            </w:r>
          </w:p>
        </w:tc>
        <w:tc>
          <w:tcPr>
            <w:tcW w:w="890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5.</w:t>
            </w:r>
          </w:p>
        </w:tc>
        <w:tc>
          <w:tcPr>
            <w:tcW w:w="890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6.</w:t>
            </w:r>
          </w:p>
        </w:tc>
        <w:tc>
          <w:tcPr>
            <w:tcW w:w="890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 The Sirenia Account, which is an account of Point72 Associates II, LLC, has the right to receive or the power to direct the receipt of dividends from, or the proceeds from the sale of, more than 5 percent of the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7.</w:t>
            </w:r>
          </w:p>
        </w:tc>
        <w:tc>
          <w:tcPr>
            <w:tcW w:w="890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Item 2(a) and Item 3.</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8.</w:t>
            </w:r>
          </w:p>
        </w:tc>
        <w:tc>
          <w:tcPr>
            <w:tcW w:w="890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9.</w:t>
            </w:r>
          </w:p>
        </w:tc>
        <w:tc>
          <w:tcPr>
            <w:tcW w:w="890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36" w:type="dxa"/>
        <w:jc w:val="left"/>
        <w:tblInd w:w="0" w:type="dxa"/>
        <w:tblLayout w:type="fixed"/>
        <w:tblCellMar>
          <w:top w:w="28" w:type="dxa"/>
          <w:left w:w="28" w:type="dxa"/>
          <w:bottom w:w="28" w:type="dxa"/>
          <w:right w:w="28" w:type="dxa"/>
        </w:tblCellMar>
      </w:tblPr>
      <w:tblGrid>
        <w:gridCol w:w="3318"/>
        <w:gridCol w:w="3318"/>
      </w:tblGrid>
      <w:tr>
        <w:trPr/>
        <w:tc>
          <w:tcPr>
            <w:tcW w:w="3318" w:type="dxa"/>
            <w:tcBorders/>
            <w:vAlign w:val="center"/>
          </w:tcPr>
          <w:p>
            <w:pPr>
              <w:pStyle w:val="TableContents"/>
              <w:bidi w:val="0"/>
              <w:spacing w:before="0" w:after="0"/>
              <w:jc w:val="left"/>
              <w:rPr/>
            </w:pPr>
            <w:r>
              <w:rPr/>
              <w:t> </w:t>
            </w:r>
          </w:p>
          <w:tbl>
            <w:tblPr>
              <w:tblW w:w="3196" w:type="dxa"/>
              <w:jc w:val="left"/>
              <w:tblInd w:w="0" w:type="dxa"/>
              <w:tblLayout w:type="fixed"/>
              <w:tblCellMar>
                <w:top w:w="28" w:type="dxa"/>
                <w:left w:w="28" w:type="dxa"/>
                <w:bottom w:w="28" w:type="dxa"/>
                <w:right w:w="28" w:type="dxa"/>
              </w:tblCellMar>
            </w:tblPr>
            <w:tblGrid>
              <w:gridCol w:w="3196"/>
            </w:tblGrid>
            <w:tr>
              <w:trPr/>
              <w:tc>
                <w:tcPr>
                  <w:tcW w:w="3196" w:type="dxa"/>
                  <w:tcBorders/>
                  <w:vAlign w:val="center"/>
                </w:tcPr>
                <w:p>
                  <w:pPr>
                    <w:pStyle w:val="TableContents"/>
                    <w:bidi w:val="0"/>
                    <w:spacing w:before="0" w:after="0"/>
                    <w:jc w:val="left"/>
                    <w:rPr/>
                  </w:pPr>
                  <w:r>
                    <w:rPr/>
                    <w:t>Sirenia Capital Management LP</w:t>
                  </w:r>
                </w:p>
              </w:tc>
            </w:tr>
          </w:tbl>
          <w:p>
            <w:pPr>
              <w:pStyle w:val="TableContents"/>
              <w:bidi w:val="0"/>
              <w:spacing w:before="0" w:after="283"/>
              <w:jc w:val="left"/>
              <w:rPr/>
            </w:pPr>
            <w:r>
              <w:rPr/>
            </w:r>
          </w:p>
        </w:tc>
        <w:tc>
          <w:tcPr>
            <w:tcW w:w="33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9"/>
        <w:gridCol w:w="4266"/>
      </w:tblGrid>
      <w:tr>
        <w:trPr/>
        <w:tc>
          <w:tcPr>
            <w:tcW w:w="59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Kolby Loft</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Kolby Loft, General Counsel &amp; Chief Compliance Officer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6"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Alex Silverstein</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7"/>
        <w:gridCol w:w="4298"/>
      </w:tblGrid>
      <w:tr>
        <w:trPr/>
        <w:tc>
          <w:tcPr>
            <w:tcW w:w="590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Alex Silverstein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Alex Silverstein, individually</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98" w:type="dxa"/>
            <w:tcBorders/>
            <w:vAlign w:val="center"/>
          </w:tcPr>
          <w:p>
            <w:pPr>
              <w:pStyle w:val="TableContents"/>
              <w:bidi w:val="0"/>
              <w:spacing w:before="0" w:after="283"/>
              <w:jc w:val="left"/>
              <w:rPr>
                <w:sz w:val="4"/>
                <w:szCs w:val="4"/>
              </w:rPr>
            </w:pPr>
            <w:r>
              <w:rPr>
                <w:sz w:val="4"/>
                <w:szCs w:val="4"/>
              </w:rPr>
            </w:r>
          </w:p>
        </w:tc>
      </w:tr>
    </w:tbl>
    <w:tbl>
      <w:tblPr>
        <w:tblW w:w="3631" w:type="dxa"/>
        <w:jc w:val="left"/>
        <w:tblInd w:w="0" w:type="dxa"/>
        <w:tblLayout w:type="fixed"/>
        <w:tblCellMar>
          <w:top w:w="28" w:type="dxa"/>
          <w:left w:w="28" w:type="dxa"/>
          <w:bottom w:w="28" w:type="dxa"/>
          <w:right w:w="28" w:type="dxa"/>
        </w:tblCellMar>
      </w:tblPr>
      <w:tblGrid>
        <w:gridCol w:w="3631"/>
      </w:tblGrid>
      <w:tr>
        <w:trPr/>
        <w:tc>
          <w:tcPr>
            <w:tcW w:w="3631" w:type="dxa"/>
            <w:tcBorders/>
            <w:vAlign w:val="center"/>
          </w:tcPr>
          <w:p>
            <w:pPr>
              <w:pStyle w:val="TableContents"/>
              <w:bidi w:val="0"/>
              <w:spacing w:before="0" w:after="283"/>
              <w:jc w:val="center"/>
              <w:rPr>
                <w:b/>
              </w:rPr>
            </w:pPr>
            <w:r>
              <w:rPr>
                <w:b/>
              </w:rPr>
              <w:t xml:space="preserve">Exhibit Information </w:t>
            </w:r>
          </w:p>
        </w:tc>
      </w:tr>
      <w:tr>
        <w:trPr/>
        <w:tc>
          <w:tcPr>
            <w:tcW w:w="3631" w:type="dxa"/>
            <w:tcBorders/>
            <w:vAlign w:val="center"/>
          </w:tcPr>
          <w:p>
            <w:pPr>
              <w:pStyle w:val="TableContents"/>
              <w:bidi w:val="0"/>
              <w:spacing w:before="0" w:after="283"/>
              <w:jc w:val="left"/>
              <w:rPr/>
            </w:pPr>
            <w:r>
              <w:rPr/>
              <w:t>Exhibit 99.1: Joint Filing Agreement</w:t>
            </w:r>
          </w:p>
        </w:tc>
      </w:tr>
    </w:tbl>
    <w:p>
      <w:pPr>
        <w:pStyle w:val="TextBody"/>
        <w:bidi w:val="0"/>
        <w:spacing w:before="0" w:after="240"/>
        <w:jc w:val="center"/>
        <w:rPr>
          <w:rFonts w:ascii="Times New Roman;Times;Serif" w:hAnsi="Times New Roman;Times;Serif"/>
          <w:b/>
          <w:i w:val="false"/>
          <w:caps w:val="false"/>
          <w:smallCaps w:val="false"/>
          <w:sz w:val="22"/>
        </w:rPr>
      </w:pPr>
      <w:bookmarkStart w:id="20" w:name="p15038163exh-99_1.htm"/>
      <w:bookmarkStart w:id="21" w:name="ksp15038163exh99_1"/>
      <w:bookmarkEnd w:id="20"/>
      <w:bookmarkEnd w:id="21"/>
      <w:r>
        <w:rPr>
          <w:rFonts w:ascii="Times New Roman;Times;Serif" w:hAnsi="Times New Roman;Times;Serif"/>
          <w:b/>
          <w:i w:val="false"/>
          <w:caps w:val="false"/>
          <w:smallCaps w:val="false"/>
          <w:sz w:val="22"/>
        </w:rPr>
        <w:t>EXHIBIT 99.1</w:t>
      </w:r>
      <w:r>
        <w:br w:type="page"/>
      </w:r>
    </w:p>
    <w:p>
      <w:pPr>
        <w:pStyle w:val="TextBody"/>
        <w:bidi w:val="0"/>
        <w:spacing w:before="0" w:after="24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JOINT ACQUISITION STATEMENT</w:t>
        <w:br/>
        <w:t>PURSUANT TO RULE 13d-1(k)</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tbl>
      <w:tblPr>
        <w:tblW w:w="2240" w:type="dxa"/>
        <w:jc w:val="left"/>
        <w:tblInd w:w="0" w:type="dxa"/>
        <w:tblLayout w:type="fixed"/>
        <w:tblCellMar>
          <w:top w:w="0" w:type="dxa"/>
          <w:left w:w="0" w:type="dxa"/>
          <w:bottom w:w="0" w:type="dxa"/>
          <w:right w:w="0" w:type="dxa"/>
        </w:tblCellMar>
      </w:tblPr>
      <w:tblGrid>
        <w:gridCol w:w="2165"/>
        <w:gridCol w:w="75"/>
      </w:tblGrid>
      <w:tr>
        <w:trPr/>
        <w:tc>
          <w:tcPr>
            <w:tcW w:w="2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Date: August 14,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5195" w:type="dxa"/>
        <w:jc w:val="left"/>
        <w:tblInd w:w="0" w:type="dxa"/>
        <w:tblLayout w:type="fixed"/>
        <w:tblCellMar>
          <w:top w:w="0" w:type="dxa"/>
          <w:left w:w="0" w:type="dxa"/>
          <w:bottom w:w="0" w:type="dxa"/>
          <w:right w:w="0" w:type="dxa"/>
        </w:tblCellMar>
      </w:tblPr>
      <w:tblGrid>
        <w:gridCol w:w="5120"/>
        <w:gridCol w:w="75"/>
      </w:tblGrid>
      <w:tr>
        <w:trPr/>
        <w:tc>
          <w:tcPr>
            <w:tcW w:w="5120" w:type="dxa"/>
            <w:tcBorders/>
            <w:vAlign w:val="center"/>
          </w:tcPr>
          <w:p>
            <w:pPr>
              <w:pStyle w:val="TableContents"/>
              <w:bidi w:val="0"/>
              <w:spacing w:before="0" w:after="283"/>
              <w:jc w:val="left"/>
              <w:rPr>
                <w:b/>
              </w:rPr>
            </w:pPr>
            <w:r>
              <w:rPr>
                <w:b/>
              </w:rPr>
              <w:t>SIRENIA CAPITAL MANAGEMENT LP</w:t>
            </w:r>
          </w:p>
        </w:tc>
        <w:tc>
          <w:tcPr>
            <w:tcW w:w="75" w:type="dxa"/>
            <w:tcBorders/>
            <w:vAlign w:val="center"/>
          </w:tcPr>
          <w:p>
            <w:pPr>
              <w:pStyle w:val="TableContents"/>
              <w:bidi w:val="0"/>
              <w:spacing w:before="0" w:after="283"/>
              <w:jc w:val="left"/>
              <w:rPr/>
            </w:pPr>
            <w:r>
              <w:rPr/>
              <w:t> </w:t>
            </w:r>
          </w:p>
        </w:tc>
      </w:tr>
      <w:tr>
        <w:trPr/>
        <w:tc>
          <w:tcPr>
            <w:tcW w:w="5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120" w:type="dxa"/>
            <w:tcBorders>
              <w:bottom w:val="single" w:sz="8" w:space="0" w:color="000000"/>
            </w:tcBorders>
            <w:tcMar>
              <w:bottom w:w="28" w:type="dxa"/>
            </w:tcMar>
            <w:vAlign w:val="center"/>
          </w:tcPr>
          <w:p>
            <w:pPr>
              <w:pStyle w:val="TableContents"/>
              <w:bidi w:val="0"/>
              <w:spacing w:before="0" w:after="283"/>
              <w:jc w:val="left"/>
              <w:rPr/>
            </w:pPr>
            <w:r>
              <w:rPr/>
              <w:t>/s/ Kolby Loft</w:t>
            </w:r>
          </w:p>
        </w:tc>
        <w:tc>
          <w:tcPr>
            <w:tcW w:w="75" w:type="dxa"/>
            <w:tcBorders/>
            <w:vAlign w:val="center"/>
          </w:tcPr>
          <w:p>
            <w:pPr>
              <w:pStyle w:val="TableContents"/>
              <w:bidi w:val="0"/>
              <w:spacing w:before="0" w:after="283"/>
              <w:jc w:val="left"/>
              <w:rPr/>
            </w:pPr>
            <w:r>
              <w:rPr/>
              <w:t> </w:t>
            </w:r>
          </w:p>
        </w:tc>
      </w:tr>
      <w:tr>
        <w:trPr/>
        <w:tc>
          <w:tcPr>
            <w:tcW w:w="5120" w:type="dxa"/>
            <w:tcBorders/>
            <w:vAlign w:val="center"/>
          </w:tcPr>
          <w:p>
            <w:pPr>
              <w:pStyle w:val="TableContents"/>
              <w:bidi w:val="0"/>
              <w:spacing w:before="0" w:after="283"/>
              <w:jc w:val="left"/>
              <w:rPr/>
            </w:pPr>
            <w:r>
              <w:rPr/>
              <w:t>Name:  Kolby Loft</w:t>
            </w:r>
          </w:p>
        </w:tc>
        <w:tc>
          <w:tcPr>
            <w:tcW w:w="75" w:type="dxa"/>
            <w:tcBorders/>
            <w:vAlign w:val="center"/>
          </w:tcPr>
          <w:p>
            <w:pPr>
              <w:pStyle w:val="TableContents"/>
              <w:bidi w:val="0"/>
              <w:spacing w:before="0" w:after="283"/>
              <w:jc w:val="left"/>
              <w:rPr/>
            </w:pPr>
            <w:r>
              <w:rPr/>
              <w:t> </w:t>
            </w:r>
          </w:p>
        </w:tc>
      </w:tr>
      <w:tr>
        <w:trPr/>
        <w:tc>
          <w:tcPr>
            <w:tcW w:w="5120" w:type="dxa"/>
            <w:tcBorders/>
            <w:vAlign w:val="center"/>
          </w:tcPr>
          <w:p>
            <w:pPr>
              <w:pStyle w:val="TableContents"/>
              <w:bidi w:val="0"/>
              <w:spacing w:before="0" w:after="283"/>
              <w:jc w:val="left"/>
              <w:rPr/>
            </w:pPr>
            <w:r>
              <w:rPr/>
              <w:t>Title:    General Counsel &amp; Chief Compliance Officer</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510" w:type="dxa"/>
        <w:jc w:val="left"/>
        <w:tblInd w:w="0" w:type="dxa"/>
        <w:tblLayout w:type="fixed"/>
        <w:tblCellMar>
          <w:top w:w="0" w:type="dxa"/>
          <w:left w:w="0" w:type="dxa"/>
          <w:bottom w:w="0" w:type="dxa"/>
          <w:right w:w="0" w:type="dxa"/>
        </w:tblCellMar>
      </w:tblPr>
      <w:tblGrid>
        <w:gridCol w:w="2435"/>
        <w:gridCol w:w="75"/>
      </w:tblGrid>
      <w:tr>
        <w:trPr/>
        <w:tc>
          <w:tcPr>
            <w:tcW w:w="2435" w:type="dxa"/>
            <w:tcBorders/>
            <w:vAlign w:val="center"/>
          </w:tcPr>
          <w:p>
            <w:pPr>
              <w:pStyle w:val="TableContents"/>
              <w:bidi w:val="0"/>
              <w:spacing w:before="0" w:after="283"/>
              <w:jc w:val="left"/>
              <w:rPr>
                <w:b/>
              </w:rPr>
            </w:pPr>
            <w:r>
              <w:rPr>
                <w:b/>
              </w:rPr>
              <w:t>ALEX SILVERSTEIN</w:t>
            </w:r>
          </w:p>
        </w:tc>
        <w:tc>
          <w:tcPr>
            <w:tcW w:w="75"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35" w:type="dxa"/>
            <w:tcBorders>
              <w:bottom w:val="single" w:sz="8" w:space="0" w:color="000000"/>
            </w:tcBorders>
            <w:tcMar>
              <w:bottom w:w="28" w:type="dxa"/>
            </w:tcMar>
            <w:vAlign w:val="center"/>
          </w:tcPr>
          <w:p>
            <w:pPr>
              <w:pStyle w:val="TableContents"/>
              <w:bidi w:val="0"/>
              <w:spacing w:before="0" w:after="283"/>
              <w:jc w:val="left"/>
              <w:rPr/>
            </w:pPr>
            <w:r>
              <w:rPr/>
              <w:t> </w:t>
            </w:r>
            <w:r>
              <w:rPr/>
              <w:t>/s/ Alex Silverstein</w:t>
            </w:r>
          </w:p>
        </w:tc>
        <w:tc>
          <w:tcPr>
            <w:tcW w:w="75"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lineRule="auto" w:line="256" w:before="0" w:after="16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1627</Words>
  <Characters>8320</Characters>
  <CharactersWithSpaces>9934</CharactersWithSpaces>
  <Paragraphs>244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