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4"/>
          <w:szCs w:val="24"/>
          <w:color w:val="auto"/>
        </w:rPr>
      </w:pPr>
    </w:p>
    <w:p>
      <w:pPr>
        <w:jc w:val="center"/>
        <w:ind w:left="40"/>
        <w:spacing w:after="0" w:line="263" w:lineRule="auto"/>
        <w:rPr>
          <w:sz w:val="20"/>
          <w:szCs w:val="20"/>
          <w:color w:val="auto"/>
        </w:rPr>
      </w:pPr>
      <w:r>
        <w:rPr>
          <w:rFonts w:ascii="Times New Roman" w:cs="Times New Roman" w:eastAsia="Times New Roman" w:hAnsi="Times New Roman"/>
          <w:sz w:val="18"/>
          <w:szCs w:val="18"/>
          <w:b w:val="1"/>
          <w:bCs w:val="1"/>
          <w:color w:val="auto"/>
        </w:rPr>
        <w:t>As confidentially submitted to the Securities and Exchange Commission on February 6, 2026. This registration statement has not been publicly filed with the Securities and Exchange Commission and all information herein remains strictly confidential.</w:t>
      </w:r>
    </w:p>
    <w:p>
      <w:pPr>
        <w:spacing w:after="0" w:line="1" w:lineRule="exact"/>
        <w:rPr>
          <w:sz w:val="24"/>
          <w:szCs w:val="24"/>
          <w:color w:val="auto"/>
        </w:rPr>
      </w:pPr>
    </w:p>
    <w:p>
      <w:pPr>
        <w:ind w:left="9960"/>
        <w:spacing w:after="0"/>
        <w:rPr>
          <w:sz w:val="20"/>
          <w:szCs w:val="20"/>
          <w:color w:val="auto"/>
        </w:rPr>
      </w:pPr>
      <w:r>
        <w:rPr>
          <w:rFonts w:ascii="Times New Roman" w:cs="Times New Roman" w:eastAsia="Times New Roman" w:hAnsi="Times New Roman"/>
          <w:sz w:val="18"/>
          <w:szCs w:val="18"/>
          <w:b w:val="1"/>
          <w:bCs w:val="1"/>
          <w:color w:val="auto"/>
        </w:rPr>
        <w:t xml:space="preserve">File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40" w:right="20"/>
        <w:spacing w:after="0" w:line="246" w:lineRule="auto"/>
        <w:rPr>
          <w:sz w:val="20"/>
          <w:szCs w:val="20"/>
          <w:color w:val="auto"/>
        </w:rPr>
      </w:pPr>
      <w:r>
        <w:rPr>
          <w:rFonts w:ascii="Times New Roman" w:cs="Times New Roman" w:eastAsia="Times New Roman" w:hAnsi="Times New Roman"/>
          <w:sz w:val="22"/>
          <w:szCs w:val="22"/>
          <w:b w:val="1"/>
          <w:bCs w:val="1"/>
          <w:color w:val="auto"/>
        </w:rPr>
        <w:t>GENERAL FORM FOR REGISTRATION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BIOPHARMA COMPANY,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80"/>
          </w:cols>
          <w:pgMar w:left="440" w:top="225" w:right="4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39-5003207</w:t>
      </w:r>
    </w:p>
    <w:p>
      <w:pPr>
        <w:spacing w:after="0" w:line="12" w:lineRule="exact"/>
        <w:rPr>
          <w:sz w:val="24"/>
          <w:szCs w:val="24"/>
          <w:color w:val="auto"/>
        </w:rPr>
      </w:pPr>
    </w:p>
    <w:p>
      <w:pPr>
        <w:sectPr>
          <w:pgSz w:w="11900" w:h="16838" w:orient="portrait"/>
          <w:cols w:equalWidth="0" w:num="2">
            <w:col w:w="7180" w:space="720"/>
            <w:col w:w="3080"/>
          </w:cols>
          <w:pgMar w:left="440" w:top="225" w:right="47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200"/>
          </w:cols>
          <w:pgMar w:left="440" w:top="225" w:right="479" w:bottom="1440" w:gutter="0" w:footer="0" w:header="0"/>
          <w:type w:val="continuous"/>
        </w:sectPr>
      </w:pP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10770 Wateridge Circle, Suite 210</w:t>
      </w:r>
    </w:p>
    <w:p>
      <w:pPr>
        <w:spacing w:after="0" w:line="3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9"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1"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(858) 362-6295</w:t>
      </w:r>
    </w:p>
    <w:p>
      <w:pPr>
        <w:sectPr>
          <w:pgSz w:w="11900" w:h="16838" w:orient="portrait"/>
          <w:cols w:equalWidth="0" w:num="1">
            <w:col w:w="10980"/>
          </w:cols>
          <w:pgMar w:left="440" w:top="225" w:right="479" w:bottom="1440" w:gutter="0" w:footer="0" w:header="0"/>
          <w:type w:val="continuous"/>
        </w:sectPr>
      </w:pP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Securities to be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250190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980"/>
          </w:cols>
          <w:pgMar w:left="440" w:top="225" w:right="47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Title of each class to</w:t>
      </w:r>
    </w:p>
    <w:p>
      <w:pPr>
        <w:spacing w:after="0" w:line="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4"/>
          <w:szCs w:val="14"/>
          <w:b w:val="1"/>
          <w:bCs w:val="1"/>
          <w:u w:val="single" w:color="auto"/>
          <w:color w:val="auto"/>
        </w:rPr>
        <w:t>be so 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p>
      <w:pPr>
        <w:spacing w:after="0" w:line="6"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4"/>
          <w:szCs w:val="14"/>
          <w:b w:val="1"/>
          <w:bCs w:val="1"/>
          <w:u w:val="single" w:color="auto"/>
          <w:color w:val="auto"/>
        </w:rPr>
        <w:t>each class is to be registered</w:t>
      </w:r>
    </w:p>
    <w:p>
      <w:pPr>
        <w:spacing w:after="0" w:line="11" w:lineRule="exact"/>
        <w:rPr>
          <w:sz w:val="24"/>
          <w:szCs w:val="24"/>
          <w:color w:val="auto"/>
        </w:rPr>
      </w:pPr>
    </w:p>
    <w:p>
      <w:pPr>
        <w:sectPr>
          <w:pgSz w:w="11900" w:h="16838" w:orient="portrait"/>
          <w:cols w:equalWidth="0" w:num="2">
            <w:col w:w="6600" w:space="720"/>
            <w:col w:w="3660"/>
          </w:cols>
          <w:pgMar w:left="440" w:top="225" w:right="47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19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 None</w:t>
      </w:r>
    </w:p>
    <w:p>
      <w:pPr>
        <w:spacing w:after="0" w:line="22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70" w:lineRule="exact"/>
        <w:rPr>
          <w:sz w:val="24"/>
          <w:szCs w:val="24"/>
          <w:color w:val="auto"/>
        </w:rPr>
      </w:pPr>
    </w:p>
    <w:p>
      <w:pPr>
        <w:ind w:right="2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440" w:top="225"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Biopharma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BIOPHARMA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CROSS-REFERENCE SHEET BETWEEN INFORMATION STATEMENT AND ITEMS OF FORM 10</w:t>
      </w:r>
    </w:p>
    <w:p>
      <w:pPr>
        <w:spacing w:after="0" w:line="207"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Certain information required to be included in this Form 10 is incorporated by reference to specifically-identified portions of the body of the information statement filed herewith as Exhibit 99.1. None of the information contained in the information statement shall be incorporated by reference herein or deemed to be a part hereof unless such information is specifically incorporated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21"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“Information Statement Summary,” “Risk Factors,” “Special Note Regarding Forward-Looking Statements,” “The Spin-Off,” “Management’s Discussion and Analysis of Financial Condition and Results of Operations,” “Business,” “Certain Relationships and Related Party Transactions” and “Where You Can Find More Information.” Those sections are incorporated herein by reference.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“Information Statement Summary— Summary of Risk Factors,” “Risk Factors” and “Special Note Regarding Forward-Looking Statements.” Those sections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Financial Information.</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“Information Statement Summary,” “Summary Historical and Unaudited Pro Forma Combined Financial Data,” “Management’s Discussion and Analysis of Financial Condition and Results of Operations” and “Index to Combined Financial Statements” (and the financial statements referenced therein). Those sections are incorporated herein by reference.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Properties.</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“Business—Properties.”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Security Ownership of Certain Beneficial Owners and Management.</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“Principal Stockholders.”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Directors and Executive Officers.</w:t>
      </w:r>
    </w:p>
    <w:p>
      <w:pPr>
        <w:spacing w:after="0" w:line="121"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“Management.”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Executive Compensation.</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“Executive and Director Compensation.”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Certain Relationships and Related Party Transactions.</w:t>
      </w:r>
    </w:p>
    <w:p>
      <w:pPr>
        <w:spacing w:after="0" w:line="121" w:lineRule="exact"/>
        <w:rPr>
          <w:sz w:val="20"/>
          <w:szCs w:val="20"/>
          <w:color w:val="auto"/>
        </w:rPr>
      </w:pPr>
    </w:p>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“Management” and “Certain Relationships and Related Party Transactions.” Those sections are incorporated herein by reference.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00"/>
          </w:cols>
          <w:pgMar w:left="440" w:top="266" w:right="4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Biopharma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Legal Proceedings.</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“Business—Legal Proceedings”. Those sections are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Market Price of, and Dividends on, the Registrant’s Common Equity and Related Shareholder Matters.</w:t>
      </w:r>
    </w:p>
    <w:p>
      <w:pPr>
        <w:spacing w:after="0" w:line="121"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“Information Statement Summary,” “The Spin-Off,” “Dividend Policy,” “Capitalization,” “Shares Eligible for Future Sale” and “Description of Capital Stock.” Those sections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Recent Sales of Unregistered Securities.</w:t>
      </w:r>
    </w:p>
    <w:p>
      <w:pPr>
        <w:spacing w:after="0" w:line="12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“Description of Capital Stock.”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Description of Registrant’s Securities to be Registered.</w:t>
      </w:r>
    </w:p>
    <w:p>
      <w:pPr>
        <w:spacing w:after="0" w:line="121"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“The Spin-Off” and “Description of Capital Stock.” Those sections are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Indemnification of Directors and Officers.</w:t>
      </w:r>
    </w:p>
    <w:p>
      <w:pPr>
        <w:spacing w:after="0" w:line="121"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“Description of Capital Stock— Indemnification of Directors and Officers.”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Financial Statements and Supplementary Data.</w:t>
      </w:r>
    </w:p>
    <w:p>
      <w:pPr>
        <w:spacing w:after="0" w:line="121" w:lineRule="exact"/>
        <w:rPr>
          <w:sz w:val="20"/>
          <w:szCs w:val="20"/>
          <w:color w:val="auto"/>
        </w:rPr>
      </w:pPr>
    </w:p>
    <w:p>
      <w:pPr>
        <w:ind w:right="74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“Index to Combined Financial Statements” (and the financial statements and related notes referenced therein).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Changes in and Disagreements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Financial Statements</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“Unaudited Pro Forma Combined Financial Statements” and “Index to Combined Financial Statements” (and the financial statements and related noted referenced therein). Those sections are incorporated herein by reference.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0980"/>
          </w:cols>
          <w:pgMar w:left="440" w:top="266" w:right="479" w:bottom="1440" w:gutter="0" w:footer="0" w:header="0"/>
        </w:sectPr>
      </w:pPr>
    </w:p>
    <w:bookmarkStart w:id="3" w:name="page4"/>
    <w:bookmarkEnd w:id="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Biopharma Company,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444" w:right="9800" w:hanging="444"/>
        <w:spacing w:after="0" w:line="412" w:lineRule="auto"/>
        <w:tabs>
          <w:tab w:leader="none" w:pos="258"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Exhibits </w:t>
      </w:r>
      <w:r>
        <w:rPr>
          <w:rFonts w:ascii="Times New Roman" w:cs="Times New Roman" w:eastAsia="Times New Roman" w:hAnsi="Times New Roman"/>
          <w:sz w:val="18"/>
          <w:szCs w:val="18"/>
          <w:color w:val="auto"/>
        </w:rPr>
        <w:t>See below.</w:t>
      </w:r>
    </w:p>
    <w:p>
      <w:pPr>
        <w:spacing w:after="0" w:line="4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documents are filed as exhibits hereto:</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0" w:type="dxa"/>
            <w:vAlign w:val="bottom"/>
          </w:tcPr>
          <w:p>
            <w:pPr>
              <w:spacing w:after="0"/>
              <w:rPr>
                <w:sz w:val="13"/>
                <w:szCs w:val="13"/>
                <w:color w:val="auto"/>
              </w:rPr>
            </w:pPr>
          </w:p>
        </w:tc>
        <w:tc>
          <w:tcPr>
            <w:tcW w:w="9880" w:type="dxa"/>
            <w:vAlign w:val="bottom"/>
            <w:vMerge w:val="restart"/>
          </w:tcPr>
          <w:p>
            <w:pPr>
              <w:ind w:left="43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640" w:type="dxa"/>
            <w:vAlign w:val="bottom"/>
          </w:tcPr>
          <w:p>
            <w:pPr>
              <w:spacing w:after="0"/>
              <w:rPr>
                <w:sz w:val="15"/>
                <w:szCs w:val="15"/>
                <w:color w:val="auto"/>
              </w:rPr>
            </w:pPr>
          </w:p>
        </w:tc>
        <w:tc>
          <w:tcPr>
            <w:tcW w:w="9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2.1*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Separation and Distribution Agreement, by and between AnaptysBio, Inc. and the registrant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Restated Certificate of Incorporation of the registrant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Restated Bylaws of the registrant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Transition Services Agreement, by and between AnaptysBio, Inc. and the registrant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Preliminary Information Statement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Notice of Internet Availability of Information Statement Materials</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024"/>
          </w:cols>
          <w:pgMar w:left="436" w:top="266" w:right="439" w:bottom="1440" w:gutter="0" w:footer="0" w:header="0"/>
        </w:sectPr>
      </w:pPr>
    </w:p>
    <w:bookmarkStart w:id="4" w:name="page5"/>
    <w:bookmarkEnd w:id="4"/>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Biopharma Company,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caused this registration statement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BIOPHARMA COMPANY,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 xml:space="preserve">Date:    </w:t>
      </w:r>
      <w:r>
        <w:rPr>
          <w:sz w:val="20"/>
          <w:szCs w:val="20"/>
          <w:color w:val="auto"/>
        </w:rPr>
        <w:tab/>
      </w:r>
      <w:r>
        <w:rPr>
          <w:rFonts w:ascii="Times New Roman" w:cs="Times New Roman" w:eastAsia="Times New Roman" w:hAnsi="Times New Roman"/>
          <w:sz w:val="17"/>
          <w:szCs w:val="17"/>
          <w:color w:val="auto"/>
        </w:rPr>
        <w:t>, 2026</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0840"/>
          </w:cols>
          <w:pgMar w:left="440" w:top="266" w:right="6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ectPr>
          <w:pgSz w:w="11900" w:h="16838" w:orient="portrait"/>
          <w:cols w:equalWidth="0" w:num="1">
            <w:col w:w="11140"/>
          </w:cols>
          <w:pgMar w:left="320" w:top="117" w:right="439" w:bottom="1440" w:gutter="0" w:footer="0" w:header="0"/>
        </w:sectPr>
      </w:pPr>
    </w:p>
    <w:p>
      <w:pPr>
        <w:spacing w:after="0" w:line="200" w:lineRule="exact"/>
        <w:rPr>
          <w:sz w:val="20"/>
          <w:szCs w:val="20"/>
          <w:color w:val="auto"/>
        </w:rPr>
      </w:pP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549"/>
        </w:trPr>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rPr>
              <w:t>10 relating to these securities</w:t>
            </w:r>
          </w:p>
        </w:tc>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1934, as amended.</w:t>
            </w:r>
          </w:p>
        </w:tc>
      </w:tr>
      <w:tr>
        <w:trPr>
          <w:trHeight w:val="5300"/>
        </w:trPr>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completion or amendment. A Registration Statement on Form</w:t>
            </w:r>
          </w:p>
        </w:tc>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Exchange Commission under the Securities Exchange Act of</w:t>
            </w:r>
          </w:p>
        </w:tc>
      </w:tr>
      <w:tr>
        <w:trPr>
          <w:trHeight w:val="1690"/>
        </w:trPr>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herein is subject to</w:t>
            </w:r>
          </w:p>
        </w:tc>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rPr>
              <w:t>U.S. Securities and</w:t>
            </w:r>
          </w:p>
        </w:tc>
      </w:tr>
      <w:tr>
        <w:trPr>
          <w:trHeight w:val="1939"/>
        </w:trPr>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rPr>
              <w:t>Information contained</w:t>
            </w:r>
          </w:p>
        </w:tc>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rPr>
              <w:t>has been filed with the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FF4338"/>
        </w:rPr>
        <w:t>Subject to Completion, dated February 6, 2026</w:t>
      </w:r>
    </w:p>
    <w:p>
      <w:pPr>
        <w:spacing w:after="0" w:line="8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7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INFORMATION STATEMENT</w:t>
      </w:r>
    </w:p>
    <w:p>
      <w:pPr>
        <w:spacing w:after="0" w:line="5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43"/>
          <w:szCs w:val="43"/>
          <w:b w:val="1"/>
          <w:bCs w:val="1"/>
          <w:color w:val="auto"/>
        </w:rPr>
        <w:t>BIOPHARMA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164465</wp:posOffset>
            </wp:positionV>
            <wp:extent cx="12344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2" w:lineRule="exact"/>
        <w:rPr>
          <w:sz w:val="20"/>
          <w:szCs w:val="20"/>
          <w:color w:val="auto"/>
        </w:rPr>
      </w:pPr>
    </w:p>
    <w:p>
      <w:pPr>
        <w:ind w:right="940" w:firstLine="371"/>
        <w:spacing w:after="0" w:line="256" w:lineRule="auto"/>
        <w:rPr>
          <w:sz w:val="20"/>
          <w:szCs w:val="20"/>
          <w:color w:val="auto"/>
        </w:rPr>
      </w:pPr>
      <w:r>
        <w:rPr>
          <w:rFonts w:ascii="Times New Roman" w:cs="Times New Roman" w:eastAsia="Times New Roman" w:hAnsi="Times New Roman"/>
          <w:sz w:val="18"/>
          <w:szCs w:val="18"/>
          <w:color w:val="auto"/>
        </w:rPr>
        <w:t>This information statement is being furnished in connection with the distribution by AnaptysBio, Inc. to its stockholders of the shares of common stock of Biopharma Company, Inc. (“Biopharma Co.” or the “Company”), a wholly-owned subsidiary of AnaptysBio, Inc. The Company will hold directly and/or indirectly the assets and liabilities associated with AnaptysBio, Inc.’s clinical stage biotechnology business, which will be transferred to the Company in connection with the Spin-Off (as defined herein). In the Spin-Off, AnaptysBio, Inc. will distribute all of the issued and outstanding shares of common stock of the Company on a pro rata basis to existing stockholders of AnaptysBio, Inc.</w:t>
      </w:r>
    </w:p>
    <w:p>
      <w:pPr>
        <w:spacing w:after="0" w:line="120" w:lineRule="exact"/>
        <w:rPr>
          <w:sz w:val="20"/>
          <w:szCs w:val="20"/>
          <w:color w:val="auto"/>
        </w:rPr>
      </w:pPr>
    </w:p>
    <w:p>
      <w:pPr>
        <w:ind w:right="1000" w:firstLine="371"/>
        <w:spacing w:after="0" w:line="254" w:lineRule="auto"/>
        <w:rPr>
          <w:sz w:val="20"/>
          <w:szCs w:val="20"/>
          <w:color w:val="auto"/>
        </w:rPr>
      </w:pPr>
      <w:r>
        <w:rPr>
          <w:rFonts w:ascii="Times New Roman" w:cs="Times New Roman" w:eastAsia="Times New Roman" w:hAnsi="Times New Roman"/>
          <w:sz w:val="18"/>
          <w:szCs w:val="18"/>
          <w:color w:val="auto"/>
        </w:rPr>
        <w:t>For every       shares of AnaptysBio, Inc. common stock held of record by you as of the close of business on       (the “Record Date”), you will receive one share of our common stock. You will receive cash in lieu of any fractional shares of common stock which you would have received after application of the above ratio. We expect our shares of common stock will be distributed by AnaptysBio, Inc. to you on or about       (the “Distribution Date”). AnaptysBio, Inc. will distribute the shares of our common stock in book-entry form, which means that we will not issue physical stock certificates. As discussed under “</w:t>
      </w:r>
      <w:r>
        <w:rPr>
          <w:rFonts w:ascii="Times New Roman" w:cs="Times New Roman" w:eastAsia="Times New Roman" w:hAnsi="Times New Roman"/>
          <w:sz w:val="18"/>
          <w:szCs w:val="18"/>
          <w:i w:val="1"/>
          <w:iCs w:val="1"/>
          <w:color w:val="auto"/>
        </w:rPr>
        <w:t>The Spin-Off—Trading Prior to the Distribution Date</w:t>
      </w:r>
      <w:r>
        <w:rPr>
          <w:rFonts w:ascii="Times New Roman" w:cs="Times New Roman" w:eastAsia="Times New Roman" w:hAnsi="Times New Roman"/>
          <w:sz w:val="18"/>
          <w:szCs w:val="18"/>
          <w:color w:val="auto"/>
        </w:rPr>
        <w:t>,” if you sell your shares of AnaptysBio, Inc. common stock in the “regular-way” market after the Record Date and before the Distribution Date, you also will be selling your right to receive shares of Biopharma Co. common stock in connection with the Spin-Off (as defined herein). The Spin-Off will be taxable. See “</w:t>
      </w:r>
      <w:r>
        <w:rPr>
          <w:rFonts w:ascii="Times New Roman" w:cs="Times New Roman" w:eastAsia="Times New Roman" w:hAnsi="Times New Roman"/>
          <w:sz w:val="18"/>
          <w:szCs w:val="18"/>
          <w:i w:val="1"/>
          <w:iCs w:val="1"/>
          <w:color w:val="auto"/>
        </w:rPr>
        <w:t>Material U.S. Federal Income Tax Consequences of the Spin-Off</w:t>
      </w:r>
      <w:r>
        <w:rPr>
          <w:rFonts w:ascii="Times New Roman" w:cs="Times New Roman" w:eastAsia="Times New Roman" w:hAnsi="Times New Roman"/>
          <w:sz w:val="18"/>
          <w:szCs w:val="18"/>
          <w:color w:val="auto"/>
        </w:rPr>
        <w:t>.”</w:t>
      </w:r>
    </w:p>
    <w:p>
      <w:pPr>
        <w:spacing w:after="0" w:line="103" w:lineRule="exact"/>
        <w:rPr>
          <w:sz w:val="20"/>
          <w:szCs w:val="20"/>
          <w:color w:val="auto"/>
        </w:rPr>
      </w:pPr>
    </w:p>
    <w:p>
      <w:pPr>
        <w:ind w:right="940" w:firstLine="37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 vote of AnaptysBio, Inc.’s stockholders is required in connection with the Spin-Off. Therefore, you are not being asked for a proxy, and you are requested not to send us a proxy, in connection with the Spin-Off. </w:t>
      </w:r>
      <w:r>
        <w:rPr>
          <w:rFonts w:ascii="Times New Roman" w:cs="Times New Roman" w:eastAsia="Times New Roman" w:hAnsi="Times New Roman"/>
          <w:sz w:val="18"/>
          <w:szCs w:val="18"/>
          <w:color w:val="auto"/>
        </w:rPr>
        <w:t>You will not be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pay any consideration or to exchange or surrender your existing shares of AnaptysBio, Inc. common stock or take any other action to receive shares of Biopharma Co. common stock on the Distribution Date to which you are entitled.</w:t>
      </w:r>
    </w:p>
    <w:p>
      <w:pPr>
        <w:spacing w:after="0" w:line="113" w:lineRule="exact"/>
        <w:rPr>
          <w:sz w:val="20"/>
          <w:szCs w:val="20"/>
          <w:color w:val="auto"/>
        </w:rPr>
      </w:pPr>
    </w:p>
    <w:p>
      <w:pPr>
        <w:ind w:right="920" w:firstLine="371"/>
        <w:spacing w:after="0" w:line="258" w:lineRule="auto"/>
        <w:rPr>
          <w:sz w:val="20"/>
          <w:szCs w:val="20"/>
          <w:color w:val="auto"/>
        </w:rPr>
      </w:pPr>
      <w:r>
        <w:rPr>
          <w:rFonts w:ascii="Times New Roman" w:cs="Times New Roman" w:eastAsia="Times New Roman" w:hAnsi="Times New Roman"/>
          <w:sz w:val="18"/>
          <w:szCs w:val="18"/>
          <w:color w:val="auto"/>
        </w:rPr>
        <w:t>There is no current trading market for shares of our common stock, although we expect that a limited market, commonly known as a “when-issued” trading market, will develop prior to the Distribution Date and we expect “regular-way” trading of shares of our common stock to begin on the first trading day following the completion of the Spin-Off. We intend to apply to list shares of our common stock on the       (the “Exchange”) under the symbol “      ” and the completion of the Spin-Off is conditioned on shares of our common stock being accepted for listing on the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153670</wp:posOffset>
            </wp:positionV>
            <wp:extent cx="12344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2" w:lineRule="exact"/>
        <w:rPr>
          <w:sz w:val="20"/>
          <w:szCs w:val="20"/>
          <w:color w:val="auto"/>
        </w:rPr>
      </w:pPr>
    </w:p>
    <w:p>
      <w:pPr>
        <w:ind w:right="1300" w:firstLine="371"/>
        <w:spacing w:after="0" w:line="286" w:lineRule="auto"/>
        <w:rPr>
          <w:sz w:val="20"/>
          <w:szCs w:val="20"/>
          <w:color w:val="auto"/>
        </w:rPr>
      </w:pPr>
      <w:r>
        <w:rPr>
          <w:rFonts w:ascii="Times New Roman" w:cs="Times New Roman" w:eastAsia="Times New Roman" w:hAnsi="Times New Roman"/>
          <w:sz w:val="18"/>
          <w:szCs w:val="18"/>
          <w:b w:val="1"/>
          <w:bCs w:val="1"/>
          <w:color w:val="auto"/>
        </w:rPr>
        <w:t>In reviewing this information statement, you should carefully consider the matters described under the caption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15.</w:t>
      </w:r>
    </w:p>
    <w:p>
      <w:pPr>
        <w:spacing w:after="0" w:line="87" w:lineRule="exact"/>
        <w:rPr>
          <w:sz w:val="20"/>
          <w:szCs w:val="20"/>
          <w:color w:val="auto"/>
        </w:rPr>
      </w:pPr>
    </w:p>
    <w:p>
      <w:pPr>
        <w:ind w:right="1140" w:firstLine="371"/>
        <w:spacing w:after="0" w:line="257" w:lineRule="auto"/>
        <w:rPr>
          <w:sz w:val="20"/>
          <w:szCs w:val="20"/>
          <w:color w:val="auto"/>
        </w:rPr>
      </w:pPr>
      <w:r>
        <w:rPr>
          <w:rFonts w:ascii="Times New Roman" w:cs="Times New Roman" w:eastAsia="Times New Roman" w:hAnsi="Times New Roman"/>
          <w:sz w:val="18"/>
          <w:szCs w:val="18"/>
          <w:b w:val="1"/>
          <w:bCs w:val="1"/>
          <w:color w:val="auto"/>
        </w:rPr>
        <w:t>We are an “emerging growth company” as that term is used in the Jumpstart Our Business Startups Act of 2012 and a “smaller reporting company” as that term is used in Rule 12b-2 under the Securities Exchange Act of 1934, as amended, and, as such, we may elect to comply with certain reduced public company reporting requirements for this information statement and future filings. We cannot be certain if the reduced reporting requirements applicable to emerging growth companies and smaller reporting companies will make shares of our common stock less attractive to investors. Refer to “</w:t>
      </w:r>
      <w:r>
        <w:rPr>
          <w:rFonts w:ascii="Times New Roman" w:cs="Times New Roman" w:eastAsia="Times New Roman" w:hAnsi="Times New Roman"/>
          <w:sz w:val="18"/>
          <w:szCs w:val="18"/>
          <w:b w:val="1"/>
          <w:bCs w:val="1"/>
          <w:i w:val="1"/>
          <w:iCs w:val="1"/>
          <w:color w:val="auto"/>
        </w:rPr>
        <w:t>Risk Factors—Risks Related to Ownership of Shares of our Common Stock</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155575</wp:posOffset>
            </wp:positionV>
            <wp:extent cx="12344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5" w:lineRule="exact"/>
        <w:rPr>
          <w:sz w:val="20"/>
          <w:szCs w:val="20"/>
          <w:color w:val="auto"/>
        </w:rPr>
      </w:pPr>
    </w:p>
    <w:p>
      <w:pPr>
        <w:jc w:val="both"/>
        <w:ind w:right="900" w:firstLine="371"/>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information statement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147955</wp:posOffset>
            </wp:positionV>
            <wp:extent cx="12344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This information statement is not an offer to sell, or a solicitation of an offer to buy, 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191135</wp:posOffset>
            </wp:positionV>
            <wp:extent cx="12344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 w:space="500"/>
            <w:col w:w="10160"/>
          </w:cols>
          <w:pgMar w:left="320" w:top="117" w:right="439" w:bottom="1440" w:gutter="0" w:footer="0" w:header="0"/>
          <w:type w:val="continuous"/>
        </w:sectPr>
      </w:pPr>
    </w:p>
    <w:p>
      <w:pPr>
        <w:spacing w:after="0" w:line="2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The date of this information statement is          , 2026.</w:t>
      </w:r>
    </w:p>
    <w:p>
      <w:pPr>
        <w:sectPr>
          <w:pgSz w:w="11900" w:h="16838" w:orient="portrait"/>
          <w:cols w:equalWidth="0" w:num="1">
            <w:col w:w="11140"/>
          </w:cols>
          <w:pgMar w:left="320" w:top="117" w:right="4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06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TRADEMARKS, TRADE NAMES, AND SERVICE MARKS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304"/>
        </w:trPr>
        <w:tc>
          <w:tcPr>
            <w:tcW w:w="454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MARKET AND INDUSTRY DATA</w:t>
            </w:r>
          </w:p>
        </w:tc>
        <w:tc>
          <w:tcPr>
            <w:tcW w:w="6100" w:type="dxa"/>
            <w:vAlign w:val="bottom"/>
            <w:gridSpan w:val="7"/>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iii</w:t>
            </w:r>
          </w:p>
        </w:tc>
      </w:tr>
      <w:tr>
        <w:trPr>
          <w:trHeight w:val="304"/>
        </w:trPr>
        <w:tc>
          <w:tcPr>
            <w:tcW w:w="18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GLOSSARY OF TERMS</w:t>
            </w:r>
          </w:p>
        </w:tc>
        <w:tc>
          <w:tcPr>
            <w:tcW w:w="780" w:type="dxa"/>
            <w:vAlign w:val="bottom"/>
            <w:tcBorders>
              <w:top w:val="single" w:sz="8" w:color="0000EE"/>
            </w:tcBorders>
            <w:gridSpan w:val="2"/>
          </w:tcPr>
          <w:p>
            <w:pPr>
              <w:spacing w:after="0"/>
              <w:rPr>
                <w:sz w:val="24"/>
                <w:szCs w:val="24"/>
                <w:color w:val="auto"/>
              </w:rPr>
            </w:pPr>
          </w:p>
        </w:tc>
        <w:tc>
          <w:tcPr>
            <w:tcW w:w="8000" w:type="dxa"/>
            <w:vAlign w:val="bottom"/>
            <w:gridSpan w:val="16"/>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iv</w:t>
            </w:r>
          </w:p>
        </w:tc>
      </w:tr>
      <w:tr>
        <w:trPr>
          <w:trHeight w:val="304"/>
        </w:trPr>
        <w:tc>
          <w:tcPr>
            <w:tcW w:w="33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7"/>
              </w:rPr>
              <w:t>FINANCIAL STATEMENT INFORMATION</w:t>
            </w:r>
          </w:p>
        </w:tc>
        <w:tc>
          <w:tcPr>
            <w:tcW w:w="7300" w:type="dxa"/>
            <w:vAlign w:val="bottom"/>
            <w:gridSpan w:val="12"/>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vii</w:t>
            </w:r>
          </w:p>
        </w:tc>
      </w:tr>
      <w:tr>
        <w:trPr>
          <w:trHeight w:val="304"/>
        </w:trPr>
        <w:tc>
          <w:tcPr>
            <w:tcW w:w="42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QUESTIONS AND ANSWERS ABOUT THE SPIN-OFF</w:t>
            </w:r>
          </w:p>
        </w:tc>
        <w:tc>
          <w:tcPr>
            <w:tcW w:w="6420" w:type="dxa"/>
            <w:vAlign w:val="bottom"/>
            <w:gridSpan w:val="8"/>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106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INFORMATION STATEMENT SUMMARY</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8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304"/>
        </w:trPr>
        <w:tc>
          <w:tcPr>
            <w:tcW w:w="71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SUMMARY HISTORICAL AND UNAUDITED PRO FORMA COMBINED FINANCIAL DATA</w:t>
            </w:r>
          </w:p>
        </w:tc>
        <w:tc>
          <w:tcPr>
            <w:tcW w:w="3460" w:type="dxa"/>
            <w:vAlign w:val="bottom"/>
            <w:gridSpan w:val="2"/>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4"/>
        </w:trPr>
        <w:tc>
          <w:tcPr>
            <w:tcW w:w="106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8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304"/>
        </w:trPr>
        <w:tc>
          <w:tcPr>
            <w:tcW w:w="106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04"/>
        </w:trPr>
        <w:tc>
          <w:tcPr>
            <w:tcW w:w="12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THE SPIN-OFF</w:t>
            </w:r>
          </w:p>
        </w:tc>
        <w:tc>
          <w:tcPr>
            <w:tcW w:w="4080" w:type="dxa"/>
            <w:vAlign w:val="bottom"/>
            <w:tcBorders>
              <w:top w:val="single" w:sz="8" w:color="0000EE"/>
            </w:tcBorders>
            <w:gridSpan w:val="16"/>
          </w:tcPr>
          <w:p>
            <w:pPr>
              <w:spacing w:after="0"/>
              <w:rPr>
                <w:sz w:val="24"/>
                <w:szCs w:val="24"/>
                <w:color w:val="auto"/>
              </w:rPr>
            </w:pPr>
          </w:p>
        </w:tc>
        <w:tc>
          <w:tcPr>
            <w:tcW w:w="5320" w:type="dxa"/>
            <w:vAlign w:val="bottom"/>
            <w:gridSpan w:val="6"/>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04"/>
        </w:trPr>
        <w:tc>
          <w:tcPr>
            <w:tcW w:w="15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DIVIDEND POLICY</w:t>
            </w:r>
          </w:p>
        </w:tc>
        <w:tc>
          <w:tcPr>
            <w:tcW w:w="9060" w:type="dxa"/>
            <w:vAlign w:val="bottom"/>
            <w:gridSpan w:val="19"/>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04"/>
        </w:trPr>
        <w:tc>
          <w:tcPr>
            <w:tcW w:w="14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CAPITALIZATION</w:t>
            </w:r>
          </w:p>
        </w:tc>
        <w:tc>
          <w:tcPr>
            <w:tcW w:w="9180" w:type="dxa"/>
            <w:vAlign w:val="bottom"/>
            <w:gridSpan w:val="20"/>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04"/>
        </w:trPr>
        <w:tc>
          <w:tcPr>
            <w:tcW w:w="53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8"/>
              </w:rPr>
              <w:t>UNAUDITED PRO FORMA COMBINED FINANCIAL STATEMENTS</w:t>
            </w:r>
          </w:p>
        </w:tc>
        <w:tc>
          <w:tcPr>
            <w:tcW w:w="5300" w:type="dxa"/>
            <w:vAlign w:val="bottom"/>
            <w:gridSpan w:val="5"/>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04"/>
        </w:trPr>
        <w:tc>
          <w:tcPr>
            <w:tcW w:w="106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BUSINESS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8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304"/>
        </w:trPr>
        <w:tc>
          <w:tcPr>
            <w:tcW w:w="106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304"/>
        </w:trPr>
        <w:tc>
          <w:tcPr>
            <w:tcW w:w="13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MANAGEMENT</w:t>
            </w:r>
          </w:p>
        </w:tc>
        <w:tc>
          <w:tcPr>
            <w:tcW w:w="7600" w:type="dxa"/>
            <w:vAlign w:val="bottom"/>
            <w:tcBorders>
              <w:top w:val="single" w:sz="8" w:color="0000EE"/>
            </w:tcBorders>
            <w:gridSpan w:val="20"/>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304"/>
        </w:trPr>
        <w:tc>
          <w:tcPr>
            <w:tcW w:w="38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8"/>
              </w:rPr>
              <w:t>EXECUTIVE AND DIRECTOR COMPENSATION</w:t>
            </w:r>
          </w:p>
        </w:tc>
        <w:tc>
          <w:tcPr>
            <w:tcW w:w="6820" w:type="dxa"/>
            <w:vAlign w:val="bottom"/>
            <w:gridSpan w:val="10"/>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304"/>
        </w:trPr>
        <w:tc>
          <w:tcPr>
            <w:tcW w:w="23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PRINCIPAL STOCKHOLDERS</w:t>
            </w:r>
          </w:p>
        </w:tc>
        <w:tc>
          <w:tcPr>
            <w:tcW w:w="8260" w:type="dxa"/>
            <w:vAlign w:val="bottom"/>
            <w:gridSpan w:val="17"/>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304"/>
        </w:trPr>
        <w:tc>
          <w:tcPr>
            <w:tcW w:w="106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0"/>
        </w:trPr>
        <w:tc>
          <w:tcPr>
            <w:tcW w:w="2860" w:type="dxa"/>
            <w:vAlign w:val="bottom"/>
            <w:gridSpan w:val="9"/>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304"/>
        </w:trPr>
        <w:tc>
          <w:tcPr>
            <w:tcW w:w="624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MATERIAL U.S. FEDERAL INCOME TAX CONSEQUENCES OF THE SPIN-OFF</w:t>
            </w:r>
          </w:p>
        </w:tc>
        <w:tc>
          <w:tcPr>
            <w:tcW w:w="4400" w:type="dxa"/>
            <w:vAlign w:val="bottom"/>
            <w:gridSpan w:val="3"/>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304"/>
        </w:trPr>
        <w:tc>
          <w:tcPr>
            <w:tcW w:w="31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SHARES ELIGIBLE FOR FUTURE SALE</w:t>
            </w:r>
          </w:p>
        </w:tc>
        <w:tc>
          <w:tcPr>
            <w:tcW w:w="7460" w:type="dxa"/>
            <w:vAlign w:val="bottom"/>
            <w:gridSpan w:val="14"/>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304"/>
        </w:trPr>
        <w:tc>
          <w:tcPr>
            <w:tcW w:w="106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0"/>
        </w:trPr>
        <w:tc>
          <w:tcPr>
            <w:tcW w:w="2860" w:type="dxa"/>
            <w:vAlign w:val="bottom"/>
            <w:gridSpan w:val="9"/>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304"/>
        </w:trPr>
        <w:tc>
          <w:tcPr>
            <w:tcW w:w="106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3800" w:type="dxa"/>
            <w:vAlign w:val="bottom"/>
            <w:gridSpan w:val="1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264"/>
        </w:trPr>
        <w:tc>
          <w:tcPr>
            <w:tcW w:w="106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INDEX TO COMBINED FINANCIAL STATEMENTS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385"/>
        </w:trPr>
        <w:tc>
          <w:tcPr>
            <w:tcW w:w="8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229" w:lineRule="exact"/>
        <w:rPr>
          <w:sz w:val="20"/>
          <w:szCs w:val="20"/>
          <w:color w:val="auto"/>
        </w:rPr>
      </w:pPr>
    </w:p>
    <w:p>
      <w:pPr>
        <w:ind w:left="120" w:firstLine="440"/>
        <w:spacing w:after="0" w:line="238" w:lineRule="auto"/>
        <w:rPr>
          <w:sz w:val="20"/>
          <w:szCs w:val="20"/>
          <w:color w:val="auto"/>
        </w:rPr>
      </w:pPr>
      <w:r>
        <w:rPr>
          <w:rFonts w:ascii="Times New Roman" w:cs="Times New Roman" w:eastAsia="Times New Roman" w:hAnsi="Times New Roman"/>
          <w:sz w:val="18"/>
          <w:szCs w:val="18"/>
          <w:color w:val="auto"/>
        </w:rPr>
        <w:t xml:space="preserve">The Company and AnaptysBio, Inc. use various trademarks, trade names, and service marks in their business. This information statement contains references to the trademarks, trade names, and service marks. Solely for convenience, trademarks, trade names, and service marks referred to in this information statement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TM symbols, but such references are not intended to indicate, in any way, the registration status of such trademarks, trade names, and service marks, or that we will not assert, to the fullest extent under applicable law, our rights or the rights of the applicable licensor to these trademarks, trade names, and service marks. Except for trademarks, trade names, and service marks of AnaptysBio, Inc., we do not intend our use or display of other companies’ trade names, trademarks or service marks to imply, and such use or display should not be construed to imply a relationship with, or endorsement or sponsorship of us by, any other companies.</w:t>
      </w:r>
    </w:p>
    <w:p>
      <w:pPr>
        <w:spacing w:after="0" w:line="1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Unless otherwise indicated, information contained in this information statement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products. This information involves a number of assumptions and limitations, and you are cautioned not to give undue weight to such estimates. While we believe the market position, market opportunity and market size information included in this information statement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information statement. These and other factors could cause results to differ materially from those expressed in the estimates made by the independent parties and by us.</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20"/>
          </w:cols>
          <w:pgMar w:left="320" w:top="455" w:right="5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information statement to:</w:t>
      </w:r>
    </w:p>
    <w:p>
      <w:pPr>
        <w:spacing w:after="0" w:line="131"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“ACA” refers to the Affordable Care Act;</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“AnaptysBio, Inc. Board” refers to the board of directors of AnaptysBio, Inc.;</w:t>
      </w:r>
    </w:p>
    <w:p>
      <w:pPr>
        <w:spacing w:after="0" w:line="130" w:lineRule="exact"/>
        <w:rPr>
          <w:rFonts w:ascii="Times New Roman" w:cs="Times New Roman" w:eastAsia="Times New Roman" w:hAnsi="Times New Roman"/>
          <w:sz w:val="18"/>
          <w:szCs w:val="18"/>
          <w:color w:val="auto"/>
        </w:rPr>
      </w:pPr>
    </w:p>
    <w:p>
      <w:pPr>
        <w:ind w:left="1300" w:right="580" w:hanging="644"/>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“Biopharma Co. Business” refers to AnaptysBio, Inc.’s biotechnology business focused on development and potential commercialization of innovative therapeutics for autoimmune and inflammatory diseases, including clinical-stage programs for rosnilimab, ANB033 and ANB101;</w:t>
      </w:r>
    </w:p>
    <w:p>
      <w:pPr>
        <w:spacing w:after="0" w:line="8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or “our Board” refers to the board of directors of the Company;</w:t>
      </w:r>
    </w:p>
    <w:p>
      <w:pPr>
        <w:spacing w:after="0" w:line="130" w:lineRule="exact"/>
        <w:rPr>
          <w:rFonts w:ascii="Times New Roman" w:cs="Times New Roman" w:eastAsia="Times New Roman" w:hAnsi="Times New Roman"/>
          <w:sz w:val="18"/>
          <w:szCs w:val="18"/>
          <w:color w:val="auto"/>
        </w:rPr>
      </w:pPr>
    </w:p>
    <w:p>
      <w:pPr>
        <w:ind w:left="1300" w:right="80" w:hanging="644"/>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“Biopharma Co.,” “we,” “us,” and “our” refer to Biopharma Company, Inc. (a newly formed company under the laws of the State of Delaware) after giving effect to the Spin-Off;</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“DGCL” refers to the Delaware General Corporation Law;</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refers to          ;</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Act” refers to the Securities Exchange Act of 1934, as amended;</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refers to the U.S. Food and Drug Administration;</w:t>
      </w:r>
    </w:p>
    <w:p>
      <w:pPr>
        <w:spacing w:after="0" w:line="13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“GSK Collaboration” refers to an immuno-oncology-focused financial and licensing collaboration between AnaptysBio, Inc. and GlaxoSmithKline, Inc. which includes a PD-1 antagonist called dostarlimab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“restated bylaws” refer to our restated bylaws that will become effective as part of the Spin-Off, the form of which will be filed as an exhibit to our registration statement on Form 10 of which this information statement is a part;</w:t>
      </w:r>
    </w:p>
    <w:p>
      <w:pPr>
        <w:spacing w:after="0" w:line="67"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“restated certificate of incorporation” refers to our restated certificate of incorporation that will become effective as part of the Spin-Off, the form of which will be filed as an exhibit to our registration statement on Form 10 of which this information statement is a part;</w:t>
      </w:r>
    </w:p>
    <w:p>
      <w:pPr>
        <w:spacing w:after="0" w:line="8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refers to the U.S. Securities and Exchange Commission;</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Act” refers to the Securities Act of 1933, as amended;</w:t>
      </w:r>
    </w:p>
    <w:p>
      <w:pPr>
        <w:spacing w:after="0" w:line="130" w:lineRule="exact"/>
        <w:rPr>
          <w:rFonts w:ascii="Times New Roman" w:cs="Times New Roman" w:eastAsia="Times New Roman" w:hAnsi="Times New Roman"/>
          <w:sz w:val="18"/>
          <w:szCs w:val="18"/>
          <w:color w:val="auto"/>
        </w:rPr>
      </w:pPr>
    </w:p>
    <w:p>
      <w:pPr>
        <w:ind w:left="1300" w:right="300" w:hanging="644"/>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“Spin-Off” refers to the transaction in which AnaptysBio, Inc. will distribute to its stockholders all of the shares of our common stock;</w:t>
      </w:r>
    </w:p>
    <w:p>
      <w:pPr>
        <w:spacing w:after="0" w:line="67"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“Reorganization Transactions” refer to a series of internal reorganization transactions that AnaptysBio, Inc. will undertake prior to, at, or after the Spin-Off, that will generally result in (a) AnaptysBio, Inc. directly or indirectly owning, assuming or retaining those assets and liabilities primarily related to the Royalty Management Co. Business and (b) Biopharma Co. directly or indirectly owning, assuming or retaining those assets and liabilities primarily related to the Biopharma Co. Business;</w:t>
      </w:r>
    </w:p>
    <w:p>
      <w:pPr>
        <w:spacing w:after="0" w:line="83" w:lineRule="exact"/>
        <w:rPr>
          <w:rFonts w:ascii="Times New Roman" w:cs="Times New Roman" w:eastAsia="Times New Roman" w:hAnsi="Times New Roman"/>
          <w:sz w:val="18"/>
          <w:szCs w:val="18"/>
          <w:color w:val="auto"/>
        </w:rPr>
      </w:pPr>
    </w:p>
    <w:p>
      <w:pPr>
        <w:ind w:left="1300" w:right="280" w:hanging="644"/>
        <w:spacing w:after="0" w:line="284"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“Royalty Management Co. Business” refers to holding and managing the rights to dostarlimab, including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royalties from the GSK Collaboration and imsidolimab royalties from the Vanda Collaboration;</w:t>
      </w:r>
    </w:p>
    <w:p>
      <w:pPr>
        <w:spacing w:after="0" w:line="6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refers to stockholders of AnaptysBio, Inc. or stockholders of Biopharma Company, Inc., depending on the context; and</w:t>
      </w:r>
    </w:p>
    <w:p>
      <w:pPr>
        <w:spacing w:after="0" w:line="130" w:lineRule="exact"/>
        <w:rPr>
          <w:rFonts w:ascii="Times New Roman" w:cs="Times New Roman" w:eastAsia="Times New Roman" w:hAnsi="Times New Roman"/>
          <w:sz w:val="18"/>
          <w:szCs w:val="18"/>
          <w:color w:val="auto"/>
        </w:rPr>
      </w:pPr>
    </w:p>
    <w:p>
      <w:pPr>
        <w:ind w:left="1300" w:right="260" w:hanging="644"/>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“Vanda Collaboration” refers to a licensing collaboration between AnaptysBio, Inc. and Vanda Pharmaceuticals Inc. for the development and commercialization of imsidolimab (IL-36R antagonist mAb), for which a BLA has been submitted to FDA for the treatment of patients with Generalized Pustular Psoriasis.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60"/>
          </w:cols>
          <w:pgMar w:left="320" w:top="455" w:right="5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above, for the purposes of this information statement, the following medical and scientific terms shall have the meanings set forth below:</w:t>
      </w:r>
    </w:p>
    <w:p>
      <w:pPr>
        <w:spacing w:after="0" w:line="67" w:lineRule="exact"/>
        <w:rPr>
          <w:sz w:val="20"/>
          <w:szCs w:val="20"/>
          <w:color w:val="auto"/>
        </w:rPr>
      </w:pPr>
    </w:p>
    <w:p>
      <w:pPr>
        <w:ind w:left="1300" w:right="180" w:hanging="644"/>
        <w:spacing w:after="0" w:line="261"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“ACR20” refers to a response criterion in rheumatoid arthritis requiring at least a 20% improvement in tender joint count and swollen joint count, and in at least three of the five additional measures (patient global assessment, physician global assessment, patient assessment of pain, physical function, and an inflammation marker). A higher ACR20 rate indicates a greater proportion of patients achieving at least this level of improvement;</w:t>
      </w:r>
    </w:p>
    <w:p>
      <w:pPr>
        <w:spacing w:after="0" w:line="8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“ACR50” refers to a response criterion in rheumatoid arthritis requiring at least a 50% improvement in tender joint count and swollen joint count, and in at least three of the five additional measures (patient global assessment, physician global assessment, patient assessment of pain, physical function, and an inflammation marker). A higher ACR50 rate indicates a greater proportion of patients achieving at least this level of improvement;</w:t>
      </w:r>
    </w:p>
    <w:p>
      <w:pPr>
        <w:spacing w:after="0" w:line="8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“ACR70” refers to a response criterion in rheumatoid arthritis requiring at least a 70% improvement in tender joint count and swollen joint count, and in at least three of the five additional measures (patient global assessment, physician global assessment, patient assessment of pain, physical function, and an inflammation marker). A higher ACR70 rate indicates a greater proportion of patients achieving at least this level of improvement;</w:t>
      </w:r>
    </w:p>
    <w:p>
      <w:pPr>
        <w:spacing w:after="0" w:line="85"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 refers to a Biologics License Application, a formal request submitted through the FDA seeking approval to market a biological product in the United States;</w:t>
      </w:r>
    </w:p>
    <w:p>
      <w:pPr>
        <w:spacing w:after="0" w:line="67" w:lineRule="exact"/>
        <w:rPr>
          <w:rFonts w:ascii="Times New Roman" w:cs="Times New Roman" w:eastAsia="Times New Roman" w:hAnsi="Times New Roman"/>
          <w:sz w:val="18"/>
          <w:szCs w:val="18"/>
          <w:color w:val="auto"/>
        </w:rPr>
      </w:pPr>
    </w:p>
    <w:p>
      <w:pPr>
        <w:ind w:left="1300" w:right="60" w:hanging="644"/>
        <w:spacing w:after="0" w:line="261"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“CDAI” refers to a validated rheumatoid arthritis disease-activity score based solely on clinical assessment. It is calculated using a linear sum of the 28-joint tender joint count, the 28-joint swollen joint count, the patient’s global assessment of disease activity, and the physician’s global assessment of disease activity, generating a numerical score that can range from 0 to 76 with lower scores indicating less disease activity;</w:t>
      </w:r>
    </w:p>
    <w:p>
      <w:pPr>
        <w:spacing w:after="0" w:line="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“CDAI low disease activity” or “CDAI LDA” refers to a CDAI score of 2.9 to 10 out of 76;</w:t>
      </w:r>
    </w:p>
    <w:p>
      <w:pPr>
        <w:spacing w:after="0" w:line="130" w:lineRule="exact"/>
        <w:rPr>
          <w:rFonts w:ascii="Times New Roman" w:cs="Times New Roman" w:eastAsia="Times New Roman" w:hAnsi="Times New Roman"/>
          <w:sz w:val="18"/>
          <w:szCs w:val="18"/>
          <w:color w:val="auto"/>
        </w:rPr>
      </w:pPr>
    </w:p>
    <w:p>
      <w:pPr>
        <w:ind w:left="1300" w:right="420" w:hanging="644"/>
        <w:spacing w:after="0" w:line="266"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“CDSD” refers to Celiac Disease Symptom Diary, a patient-reported outcome (PRO) tool designed to daily track the presence and severity of key symptoms in individuals with celiac disease, particularly those on a gluten-free diet. It is used in clinical trials to measure treatment effectiveness by assessing five core symptoms: abdominal pain, bloating, diarrhea, nausea, and tiredness;</w:t>
      </w:r>
    </w:p>
    <w:p>
      <w:pPr>
        <w:spacing w:after="0" w:line="81"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“cGMP” refers to current Good Manufacturing Practices, a set of regulations enforced by the FDA that provide for systems that assure proper design, monitoring, and control of manufacturing processes and facilities;</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refers to contract manufacturing organizations;</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“CMS” refers to Centers for Medicare &amp; Medicaid Services;</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 refers to clinical research organizations;</w:t>
      </w:r>
    </w:p>
    <w:p>
      <w:pPr>
        <w:spacing w:after="0" w:line="130" w:lineRule="exact"/>
        <w:rPr>
          <w:rFonts w:ascii="Times New Roman" w:cs="Times New Roman" w:eastAsia="Times New Roman" w:hAnsi="Times New Roman"/>
          <w:sz w:val="18"/>
          <w:szCs w:val="18"/>
          <w:color w:val="auto"/>
        </w:rPr>
      </w:pPr>
    </w:p>
    <w:p>
      <w:pPr>
        <w:ind w:left="1300" w:right="300" w:hanging="644"/>
        <w:spacing w:after="0" w:line="258"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“DAS-28 CRP” refers to Disease Activity Score (“DAS”) in 28 joints calculated using C-Reactive Proteins (“CRP”) as the inflammatory marker. It is a validated rheumatoid arthritis disease-activity score that integrates the 28-joint tender and swollen joint counts, a blood marker of inflammation (CRP), and a patient global assessment into a single composite measure between 0 and 9.4, where lower scores reflect less disease activity. Clinically meaningful improvement is typically reflected by a reduction of approximately 1.2 points or more, with remission defined as a score below 2.6;</w:t>
      </w:r>
    </w:p>
    <w:p>
      <w:pPr>
        <w:spacing w:after="0" w:line="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“Exploratory Endpoint” refers to a pre-specified, non-primary outcome measure used to explore new hypotheses, gather additional data, or identify potential, unexpected effects of an intervention;</w:t>
      </w:r>
    </w:p>
    <w:p>
      <w:pPr>
        <w:spacing w:after="0" w:line="67"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“IEL counts” refers to intraepithelial lymphocyte, in the context of celiac disease refers to a specialized T-cell located between the epithelial cells of the small intestine, which become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320" w:right="40"/>
        <w:spacing w:after="0" w:line="282" w:lineRule="auto"/>
        <w:rPr>
          <w:sz w:val="20"/>
          <w:szCs w:val="20"/>
          <w:color w:val="auto"/>
        </w:rPr>
      </w:pPr>
      <w:r>
        <w:rPr>
          <w:rFonts w:ascii="Times New Roman" w:cs="Times New Roman" w:eastAsia="Times New Roman" w:hAnsi="Times New Roman"/>
          <w:sz w:val="18"/>
          <w:szCs w:val="18"/>
          <w:color w:val="auto"/>
        </w:rPr>
        <w:t>significantly elevated as an immune response to gluten. Increase IEL density (&gt;25 per 100 epithelial cells) is a key histological marker for diagnosing celiac disease, causing tissue damage and nutrient malabsorption;</w:t>
      </w:r>
    </w:p>
    <w:p>
      <w:pPr>
        <w:spacing w:after="0" w:line="67"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 refers to investigational new drug application to the FDA;</w:t>
      </w:r>
    </w:p>
    <w:p>
      <w:pPr>
        <w:spacing w:after="0" w:line="130"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“Proof-of-concept” refers to early-stage, small studies that focus on initial efficacy, mechanism of action, pharmacokinetics (PK), and preliminary safety in a limited patient group to determine if the concept is viable and warrants further development;</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 or “Patient-Reported Outcomes” refers to reports that come directly from patients regarding their health condition, symptoms, or treatment impacts, without interpretation by a clinician or physician, and are used to understand the true, lived experience of chronic immune disorders;</w:t>
      </w:r>
    </w:p>
    <w:p>
      <w:pPr>
        <w:spacing w:after="0" w:line="8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“REMS” refers to risk evaluation and mitigation strategies; and</w:t>
      </w:r>
    </w:p>
    <w:p>
      <w:pPr>
        <w:spacing w:after="0" w:line="130" w:lineRule="exact"/>
        <w:rPr>
          <w:rFonts w:ascii="Times New Roman" w:cs="Times New Roman" w:eastAsia="Times New Roman" w:hAnsi="Times New Roman"/>
          <w:sz w:val="18"/>
          <w:szCs w:val="18"/>
          <w:color w:val="auto"/>
        </w:rPr>
      </w:pPr>
    </w:p>
    <w:p>
      <w:pPr>
        <w:ind w:left="1300" w:right="380" w:hanging="644"/>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“Registrational study” refers to a, usually Phase 3, clinical trial designed to generate definitive efficacy and safety data required to support a regulatory filing (NDA, BLA, or PMA) for marketing approval.</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Certain percentages and other figures provided and used in this information statement may not add up to 100% due to the rounding of individual components.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040"/>
          </w:cols>
          <w:pgMar w:left="320" w:top="455" w:right="5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FINANCIAL STATEMENT INFORMATION</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information statement includes certain historical combined financial and other data for Biopharma Company, Inc. In connection with the Spin-Off, Biopharma Co. will become the holder of the assets and liabilities of all of the Biopharma Co. Business. Biopharma Co. is the registrant under the registration statement of which this information statement forms a part and will be the financial reporting entity following the completion of the Spin-Off. AnaptysBio, Inc. is presently, and will continue to be, a financial reporting entity following the Spin-Off. Our historical combined financial information as of December 31, 2024 and for the years ended December 31, 2024 and 2023 have been derived from our audited combined financial statements included elsewhere in this information statement.</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Pursuant to the applicable provisions of the Fixing America’s Surface Transportation Act, the registrant is not required to file interim combined financial statements (and related financial information) for the nine months ended September 30, 2025 and 2024 in this draft confidential submission because the registrant plans to file combined financial statements (and related financial information) for the year ended December 31, 2025, including pro forma financial statements, prior to or in the first public filing of the registration statement on Form 10 of which this information statement forms a part. While the registrant’s interim combined financial statements (and related financial information) for the nine months ended September 30, 2025 and 2024 are otherwise required by Regulation S-X, they will not be required to be presented separately in this registration statement at the time of the first public filing of this registration statement and have been omitted from this draft confidential submission.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6821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682105"/>
                    </a:xfrm>
                    <a:prstGeom prst="rect">
                      <a:avLst/>
                    </a:prstGeom>
                    <a:noFill/>
                  </pic:spPr>
                </pic:pic>
              </a:graphicData>
            </a:graphic>
          </wp:anchor>
        </w:drawing>
      </w:r>
    </w:p>
    <w:p>
      <w:pPr>
        <w:spacing w:after="0" w:line="29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QUESTIONS AND ANSWERS ABOUT THE SPIN-OFF</w:t>
      </w:r>
    </w:p>
    <w:p>
      <w:pPr>
        <w:spacing w:after="0" w:line="229" w:lineRule="exact"/>
        <w:rPr>
          <w:sz w:val="20"/>
          <w:szCs w:val="20"/>
          <w:color w:val="auto"/>
        </w:rPr>
      </w:pPr>
    </w:p>
    <w:p>
      <w:pPr>
        <w:ind w:left="300" w:right="180" w:firstLine="426"/>
        <w:spacing w:after="0" w:line="282" w:lineRule="auto"/>
        <w:rPr>
          <w:sz w:val="20"/>
          <w:szCs w:val="20"/>
          <w:color w:val="auto"/>
        </w:rPr>
      </w:pPr>
      <w:r>
        <w:rPr>
          <w:rFonts w:ascii="Times New Roman" w:cs="Times New Roman" w:eastAsia="Times New Roman" w:hAnsi="Times New Roman"/>
          <w:sz w:val="18"/>
          <w:szCs w:val="18"/>
          <w:color w:val="auto"/>
        </w:rPr>
        <w:t>The following provides only a summary of certain information regarding AnaptysBio, Inc.’s reasons for the Spin-Off. You should read this information statement in its entirety for a more detailed description of the matters described below.</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Why am I receiving this document?</w:t>
      </w:r>
    </w:p>
    <w:p>
      <w:pPr>
        <w:spacing w:after="0" w:line="121"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A: AnaptysBio, Inc. is delivering this document to you because you were a holder of shares of AnaptysBio, Inc. common stock on the Record Date (as defined below), and are entitled to receive one share of Biopharma Co. common stock for every        shares of AnaptysBio, Inc. common stock that you held as of the close of business on the Record Date. The number of shares of AnaptysBio, Inc. common stock you own will not change as a result of the Spin-Off. This document will help you understand how the Spin-Off will affect your investment in AnaptysBio, Inc. and your investment in Biopharma Co. following the Spin-Off.</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What are the reasons for the Spin-Off?</w:t>
      </w:r>
    </w:p>
    <w:p>
      <w:pPr>
        <w:spacing w:after="0" w:line="121" w:lineRule="exact"/>
        <w:rPr>
          <w:sz w:val="20"/>
          <w:szCs w:val="20"/>
          <w:color w:val="auto"/>
        </w:rPr>
      </w:pPr>
    </w:p>
    <w:p>
      <w:pPr>
        <w:ind w:left="300" w:right="40" w:hanging="2"/>
        <w:spacing w:after="0" w:line="266" w:lineRule="auto"/>
        <w:tabs>
          <w:tab w:leader="none" w:pos="5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AnaptysBio, Inc. Board believes that the separation of the Biopharma Co. Business from AnaptysBio, Inc. is in the best interests of AnaptysBio, Inc. and its stockholders and for the success of the Biopharma Co. Business for a number of reasons. See “</w:t>
      </w:r>
      <w:r>
        <w:rPr>
          <w:rFonts w:ascii="Times New Roman" w:cs="Times New Roman" w:eastAsia="Times New Roman" w:hAnsi="Times New Roman"/>
          <w:sz w:val="18"/>
          <w:szCs w:val="18"/>
          <w:i w:val="1"/>
          <w:iCs w:val="1"/>
          <w:color w:val="auto"/>
        </w:rPr>
        <w:t>The Spin-Off—Reasons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Spin-Off</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How will the Spin-Off work?</w:t>
      </w:r>
    </w:p>
    <w:p>
      <w:pPr>
        <w:spacing w:after="0" w:line="121" w:lineRule="exact"/>
        <w:rPr>
          <w:sz w:val="20"/>
          <w:szCs w:val="20"/>
          <w:color w:val="auto"/>
        </w:rPr>
      </w:pPr>
    </w:p>
    <w:p>
      <w:pPr>
        <w:ind w:left="300" w:hanging="2"/>
        <w:spacing w:after="0" w:line="261" w:lineRule="auto"/>
        <w:tabs>
          <w:tab w:leader="none" w:pos="5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the Spin-Off, Biopharma Co. will hold the Biopharma Co. Business (including the employees, operations, assets and liabilities associated with the Biopharma Co. Business). AnaptysBio, Inc. will distribute all of the shares of Biopharma Co. common stock on a pro rata basis to the holders of shares of AnaptysBio, Inc.’s common stock. Following the Spin-Off, we will be an independent public company and intend to list our shares on the Exchange under the symbol “        .”</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What is the record date for the Spin-Off?</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AnaptysBio, Inc. will determine record ownership as of the close of business on            , which we refer to as the “Record Date.”</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When will the Spin-Off occur?</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The Spin-Off will be effective as of             , New York City time, on            , which time and date we refer to as the “Distribution Date.”</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What do stockholders of AnaptysBio, Inc. need to do to participate in the Spin-Off?</w:t>
      </w:r>
    </w:p>
    <w:p>
      <w:pPr>
        <w:spacing w:after="0" w:line="121" w:lineRule="exact"/>
        <w:rPr>
          <w:sz w:val="20"/>
          <w:szCs w:val="20"/>
          <w:color w:val="auto"/>
        </w:rPr>
      </w:pPr>
    </w:p>
    <w:p>
      <w:pPr>
        <w:ind w:left="300" w:right="80" w:hanging="2"/>
        <w:spacing w:after="0" w:line="258" w:lineRule="auto"/>
        <w:tabs>
          <w:tab w:leader="none" w:pos="5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but we urge you to read this entire information statement carefully. Holders of shares of AnaptysBio, Inc. common stock as of the Record Date will not be required to take any action to receive shares of Biopharma Co. common stock on the Distribution Date. No stockholder approval of the Spin-Off is required or sought. We are not asking you for a proxy and you are requested not to send us a proxy. You will not be required to make any payment or to surrender or exchange your shares of AnaptysBio, Inc. common stock or take any other action to receive your shares of AnaptysBio, Inc. common stock on the Distribution Date.</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Can AnaptysBio, Inc. decide to cancel the Spin-Off even if all the conditions have been met?</w:t>
      </w:r>
    </w:p>
    <w:p>
      <w:pPr>
        <w:spacing w:after="0" w:line="119" w:lineRule="exact"/>
        <w:rPr>
          <w:sz w:val="20"/>
          <w:szCs w:val="20"/>
          <w:color w:val="auto"/>
        </w:rPr>
      </w:pPr>
    </w:p>
    <w:p>
      <w:pPr>
        <w:jc w:val="both"/>
        <w:ind w:left="300" w:right="380" w:hanging="2"/>
        <w:spacing w:after="0" w:line="267" w:lineRule="auto"/>
        <w:tabs>
          <w:tab w:leader="none" w:pos="5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Spin-Off is subject to the satisfaction or waiver of certain conditions. See “</w:t>
      </w:r>
      <w:r>
        <w:rPr>
          <w:rFonts w:ascii="Times New Roman" w:cs="Times New Roman" w:eastAsia="Times New Roman" w:hAnsi="Times New Roman"/>
          <w:sz w:val="18"/>
          <w:szCs w:val="18"/>
          <w:i w:val="1"/>
          <w:iCs w:val="1"/>
          <w:color w:val="auto"/>
        </w:rPr>
        <w:t>The Spin-Off—Conditions to the Spin-Off</w:t>
      </w:r>
      <w:r>
        <w:rPr>
          <w:rFonts w:ascii="Times New Roman" w:cs="Times New Roman" w:eastAsia="Times New Roman" w:hAnsi="Times New Roman"/>
          <w:sz w:val="18"/>
          <w:szCs w:val="18"/>
          <w:color w:val="auto"/>
        </w:rPr>
        <w:t>.” Even if all conditions to the Spin-Off are satisfied, AnaptysBio, Inc. may terminate and abandon the Spin-Off at any time prior to the effectiveness of the Spin-Off.</w:t>
      </w:r>
    </w:p>
    <w:p>
      <w:pPr>
        <w:spacing w:after="0" w:line="2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320" w:top="455" w:right="6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653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What will be the relationship between AnaptysBio, Inc. and Biopharma Co. following the Spin-Off?</w:t>
      </w:r>
    </w:p>
    <w:p>
      <w:pPr>
        <w:spacing w:after="0" w:line="121" w:lineRule="exact"/>
        <w:rPr>
          <w:sz w:val="20"/>
          <w:szCs w:val="20"/>
          <w:color w:val="auto"/>
        </w:rPr>
      </w:pPr>
    </w:p>
    <w:p>
      <w:pPr>
        <w:ind w:left="300" w:right="20" w:hanging="2"/>
        <w:spacing w:after="0" w:line="274" w:lineRule="auto"/>
        <w:tabs>
          <w:tab w:leader="none" w:pos="52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distribution, we and AnaptysBio, Inc. will be separate companies. We will enter into a Separation and Distribution Agreement to effect the Spin-Off. The Separation and Distribution Agreement and a Transition Services Agreement will provide a framework for our relationship with AnaptysBio, Inc. after the Spin-Off. The Separation and Distribution Agreement will govern certain aspects of the relationships between AnaptysBio, Inc. and Biopharma Co. subsequent to the completion of the Spin-Off and provide for the allocation of assets and liabilities between AnaptysBio, Inc. and Biopharma Co. We cannot assure you that this agreement is on terms as favorable to us as agreements with independent third parties. See “</w:t>
      </w:r>
      <w:r>
        <w:rPr>
          <w:rFonts w:ascii="Times New Roman" w:cs="Times New Roman" w:eastAsia="Times New Roman" w:hAnsi="Times New Roman"/>
          <w:sz w:val="17"/>
          <w:szCs w:val="17"/>
          <w:i w:val="1"/>
          <w:iCs w:val="1"/>
          <w:color w:val="auto"/>
        </w:rPr>
        <w:t>Certain Relationships and Related Party Transactions—Agreements to be Entered Into in Connection with the Spin-Off.</w:t>
      </w:r>
      <w:r>
        <w:rPr>
          <w:rFonts w:ascii="Times New Roman" w:cs="Times New Roman" w:eastAsia="Times New Roman" w:hAnsi="Times New Roman"/>
          <w:sz w:val="17"/>
          <w:szCs w:val="17"/>
          <w:color w:val="auto"/>
        </w:rPr>
        <w:t>”</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Who will manage Biopharma Co. after the Spin-Off?</w:t>
      </w:r>
    </w:p>
    <w:p>
      <w:pPr>
        <w:spacing w:after="0" w:line="121" w:lineRule="exact"/>
        <w:rPr>
          <w:sz w:val="20"/>
          <w:szCs w:val="20"/>
          <w:color w:val="auto"/>
        </w:rPr>
      </w:pPr>
    </w:p>
    <w:p>
      <w:pPr>
        <w:ind w:left="300" w:right="100" w:hanging="2"/>
        <w:spacing w:after="0" w:line="256" w:lineRule="auto"/>
        <w:tabs>
          <w:tab w:leader="none" w:pos="5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completion of the Spin-Off, certain of our executive officers and our directors will continue to serve as executive officers and directors of AnaptysBio, Inc. In light of the substantial operational, scientific and development demands associated with Biopharma Co. as a clinical-stage biotechnology business focused on the development and potential commercialization of innovative therapeutics for autoimmune and inflammatory diseases, including rosnilimab, ANB033 and ANB101, we expect that our executive officers will devote a majority of their working time to Biopharma Co. For more information regarding our expected executive officers and directors, see the section of this information statement entitled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Will I receive physical certificates representing shares of Biopharma Co. common stock following the Spin-Off?</w:t>
      </w:r>
    </w:p>
    <w:p>
      <w:pPr>
        <w:spacing w:after="0" w:line="121" w:lineRule="exact"/>
        <w:rPr>
          <w:sz w:val="20"/>
          <w:szCs w:val="20"/>
          <w:color w:val="auto"/>
        </w:rPr>
      </w:pPr>
    </w:p>
    <w:p>
      <w:pPr>
        <w:ind w:left="300" w:hanging="2"/>
        <w:spacing w:after="0" w:line="256" w:lineRule="auto"/>
        <w:tabs>
          <w:tab w:leader="none" w:pos="5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Following the Spin-Off, neither AnaptysBio, Inc. nor we will be issuing physical certificates representing shares of our common stock. If you own shares of AnaptysBio, Inc. common stock as of the close of business on the Record Date, AnaptysBio, Inc., with the assistance of Equiniti Trust Company, LLC (the “Distribution Agent”), will electronically distribute shares of Biopharma Co. common stock to your bank or brokerage firm on your behalf or through the systems of the Depository Trust Company (“DTC”) (if you hold the shares through a bank or brokerage firm that uses DTC) or to you in book-entry form. Your bank or brokerage firm will credit your account for the shares of Biopharma Co. common stock or the Distribution Agent will mail you a book-entry account statement that reflects your shares of Biopharma Co. common stock.</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Will I receive a fractional number of shares of Biopharma Co. common stock?</w:t>
      </w:r>
    </w:p>
    <w:p>
      <w:pPr>
        <w:spacing w:after="0" w:line="121" w:lineRule="exact"/>
        <w:rPr>
          <w:sz w:val="20"/>
          <w:szCs w:val="20"/>
          <w:color w:val="auto"/>
        </w:rPr>
      </w:pPr>
    </w:p>
    <w:p>
      <w:pPr>
        <w:jc w:val="both"/>
        <w:ind w:left="300" w:right="160" w:hanging="2"/>
        <w:spacing w:after="0" w:line="289" w:lineRule="auto"/>
        <w:tabs>
          <w:tab w:leader="none" w:pos="52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Fractional shares of Biopharma Co. common stock will not be issued in the Spin-Off. Fractional shares that AnaptysBio, Inc. stockholders would otherwise have been entitled to receive will be aggregated and sold in the public market by the Distribution Agent. The aggregate net cash proceeds of these sales will be distributed ratably to those stockholders who would otherwise have been entitled to receive fractional shares.</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What if I want to sell my shares of AnaptysBio, Inc. common stock or my shares of Biopharma Co. common stock?</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You should consult with your financial advisors, such as your broker, bank, other nominee or tax advisor.</w:t>
      </w:r>
    </w:p>
    <w:p>
      <w:pPr>
        <w:spacing w:after="0" w:line="225" w:lineRule="exact"/>
        <w:rPr>
          <w:sz w:val="20"/>
          <w:szCs w:val="20"/>
          <w:color w:val="auto"/>
        </w:rPr>
      </w:pPr>
    </w:p>
    <w:p>
      <w:pPr>
        <w:ind w:left="300" w:right="180"/>
        <w:spacing w:after="0" w:line="266" w:lineRule="auto"/>
        <w:rPr>
          <w:sz w:val="20"/>
          <w:szCs w:val="20"/>
          <w:color w:val="auto"/>
        </w:rPr>
      </w:pPr>
      <w:r>
        <w:rPr>
          <w:rFonts w:ascii="Times New Roman" w:cs="Times New Roman" w:eastAsia="Times New Roman" w:hAnsi="Times New Roman"/>
          <w:sz w:val="18"/>
          <w:szCs w:val="18"/>
          <w:color w:val="auto"/>
        </w:rPr>
        <w:t>If you decide to sell any shares of AnaptysBio, Inc. common stock before the Distribution Date, you should make sure your broker, bank or other nominee understands whether you want to sell your shares of AnaptysBio, Inc. common stock with or without your entitlement to shares of Biopharma Co. common stock pursuant to the Spin-Off.</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9277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What is “regular-way” and “ex-distribution” trading?</w:t>
      </w:r>
    </w:p>
    <w:p>
      <w:pPr>
        <w:spacing w:after="0" w:line="121" w:lineRule="exact"/>
        <w:rPr>
          <w:sz w:val="20"/>
          <w:szCs w:val="20"/>
          <w:color w:val="auto"/>
        </w:rPr>
      </w:pPr>
    </w:p>
    <w:p>
      <w:pPr>
        <w:jc w:val="both"/>
        <w:ind w:left="300" w:right="20" w:hanging="2"/>
        <w:spacing w:after="0" w:line="255" w:lineRule="auto"/>
        <w:tabs>
          <w:tab w:leader="none" w:pos="52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prior to the Distribution Date and continuing up to and through the Distribution Date, it is expected that there will be two markets of shares of AnaptysBio, Inc. common stock: a “regular-way” market and an “ex-distribution” market. Shares of AnaptysBio, Inc. common stock that trade in the “regular-way” market will trade with an entitlement to shares of Biopharma Co. common stock distributed in the Spin-Off. Shares that trade in the “ex-distribution” market will trade without an entitlement to shares of Biopharma Co. common stock distributed in the Spin-Off.</w:t>
      </w:r>
    </w:p>
    <w:p>
      <w:pPr>
        <w:spacing w:after="0" w:line="2"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AnaptysBio, Inc. cannot predict the trading prices of its shares of common stock before, on or after the Distribution Date.</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Where will I be able to trade shares of Biopharma Co. common stock?</w:t>
      </w:r>
    </w:p>
    <w:p>
      <w:pPr>
        <w:spacing w:after="0" w:line="121" w:lineRule="exact"/>
        <w:rPr>
          <w:sz w:val="20"/>
          <w:szCs w:val="20"/>
          <w:color w:val="auto"/>
        </w:rPr>
      </w:pPr>
    </w:p>
    <w:p>
      <w:pPr>
        <w:ind w:left="300"/>
        <w:spacing w:after="0" w:line="274" w:lineRule="auto"/>
        <w:rPr>
          <w:sz w:val="20"/>
          <w:szCs w:val="20"/>
          <w:color w:val="auto"/>
        </w:rPr>
      </w:pPr>
      <w:r>
        <w:rPr>
          <w:rFonts w:ascii="Times New Roman" w:cs="Times New Roman" w:eastAsia="Times New Roman" w:hAnsi="Times New Roman"/>
          <w:sz w:val="17"/>
          <w:szCs w:val="17"/>
          <w:color w:val="auto"/>
        </w:rPr>
        <w:t>A: We intend to apply to list shares of our common stock on the Exchange under the symbol “        ” and the completion of the Spin-Off is conditioned on shares of our common stock being accepted for listing on the Exchange. We anticipate that trading in shares of our common stock will begin on a “when-issued” basis prior to the Distribution Date and will continue up to and through the Distribution Date and that “regular-way” trading in shares of our common stock will begin on the first trading day following the completion of the Spin-Off. If trading begins on a “when-issued” basis, you may purchase or sell shares of our common stock up to and through the Distribution Date, but your transaction will not settle until after the Distribution Date. We cannot predict the trading prices of shares of our common stock before, on or after the Distribution Date.</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What will happen to the listing of shares of AnaptysBio, Inc.’s common stock?</w:t>
      </w:r>
    </w:p>
    <w:p>
      <w:pPr>
        <w:spacing w:after="0" w:line="121" w:lineRule="exact"/>
        <w:rPr>
          <w:sz w:val="20"/>
          <w:szCs w:val="20"/>
          <w:color w:val="auto"/>
        </w:rPr>
      </w:pPr>
    </w:p>
    <w:p>
      <w:pPr>
        <w:ind w:left="300" w:right="140" w:hanging="2"/>
        <w:spacing w:after="0" w:line="282" w:lineRule="auto"/>
        <w:tabs>
          <w:tab w:leader="none" w:pos="5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AnaptysBio, Inc. common stock will continue to trade on The Nasdaq Stock Market LLC after the Spin-Off under the ticker symbol “ANAB.”</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Will the number of shares of AnaptysBio, Inc. common stock I own change as a result of the Spin-Off?</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No. The number of shares of AnaptysBio, Inc. common stock you own will not change as a result of the Spin-Off.</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Will the Spin-Off affect the market price of my shares of AnaptysBio, Inc. common stock?</w:t>
      </w:r>
    </w:p>
    <w:p>
      <w:pPr>
        <w:spacing w:after="0" w:line="121" w:lineRule="exact"/>
        <w:rPr>
          <w:sz w:val="20"/>
          <w:szCs w:val="20"/>
          <w:color w:val="auto"/>
        </w:rPr>
      </w:pPr>
    </w:p>
    <w:p>
      <w:pPr>
        <w:ind w:left="300" w:right="40" w:hanging="2"/>
        <w:spacing w:after="0" w:line="255" w:lineRule="auto"/>
        <w:tabs>
          <w:tab w:leader="none" w:pos="5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As a result of the Spin-Off, AnaptysBio, Inc. expects the trading price of shares of AnaptysBio, Inc. common stock immediately following the Spin-Off to be lower than the “regular-way” trading price of such shares immediately prior to the Spin-Off because the trading price will no longer reflect the value of the Biopharma Co. Business. There can be no assurance that the aggregate market value of the shares of AnaptysBio, Inc. common stock and the shares of Biopharma Co. common stock following the Spin-Off will be higher or lower than the market value of shares of AnaptysBio, Inc. common stock if the Spin-Off did not occur. This means, for example, that the combined trading prices of shares of AnaptysBio, Inc. common stock of and shares of Biopharma Co. common stock may be equal to, greater than or less than the trading price of shares of AnaptysBio, Inc. common stock before the Spin-Off.</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What are the material U.S. federal income tax consequences of the Spin-Off?</w:t>
      </w:r>
    </w:p>
    <w:p>
      <w:pPr>
        <w:spacing w:after="0" w:line="119" w:lineRule="exact"/>
        <w:rPr>
          <w:sz w:val="20"/>
          <w:szCs w:val="20"/>
          <w:color w:val="auto"/>
        </w:rPr>
      </w:pPr>
    </w:p>
    <w:p>
      <w:pPr>
        <w:ind w:left="300" w:right="60" w:hanging="2"/>
        <w:spacing w:after="0" w:line="261" w:lineRule="auto"/>
        <w:tabs>
          <w:tab w:leader="none" w:pos="5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U.S. federal income tax laws, a U.S. holder (as defined in “</w:t>
      </w:r>
      <w:r>
        <w:rPr>
          <w:rFonts w:ascii="Times New Roman" w:cs="Times New Roman" w:eastAsia="Times New Roman" w:hAnsi="Times New Roman"/>
          <w:sz w:val="18"/>
          <w:szCs w:val="18"/>
          <w:i w:val="1"/>
          <w:iCs w:val="1"/>
          <w:color w:val="auto"/>
        </w:rPr>
        <w:t>Material U.S. Federal Income Tax Consequences of the Spin-Off</w:t>
      </w:r>
      <w:r>
        <w:rPr>
          <w:rFonts w:ascii="Times New Roman" w:cs="Times New Roman" w:eastAsia="Times New Roman" w:hAnsi="Times New Roman"/>
          <w:sz w:val="18"/>
          <w:szCs w:val="18"/>
          <w:color w:val="auto"/>
        </w:rPr>
        <w:t>” of this information statement) must include in its gross income the gross amount of any dividend paid by AnaptysBio, Inc. to the extent of its current or accumulated earnings and profits (as determined for U.S. federal income tax purposes). AnaptysBio, Inc. has not calculated earnings and profits in accordance with U.S. federal income tax principles. Accordingly, U.S. holders should expect to treat the</w:t>
      </w:r>
    </w:p>
    <w:p>
      <w:pPr>
        <w:spacing w:after="0" w:line="30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320" w:top="455" w:right="6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859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95" w:lineRule="exact"/>
        <w:rPr>
          <w:sz w:val="20"/>
          <w:szCs w:val="20"/>
          <w:color w:val="auto"/>
        </w:rPr>
      </w:pPr>
    </w:p>
    <w:p>
      <w:pPr>
        <w:ind w:left="300" w:right="40"/>
        <w:spacing w:after="0" w:line="277" w:lineRule="auto"/>
        <w:rPr>
          <w:sz w:val="20"/>
          <w:szCs w:val="20"/>
          <w:color w:val="auto"/>
        </w:rPr>
      </w:pPr>
      <w:r>
        <w:rPr>
          <w:rFonts w:ascii="Times New Roman" w:cs="Times New Roman" w:eastAsia="Times New Roman" w:hAnsi="Times New Roman"/>
          <w:sz w:val="17"/>
          <w:szCs w:val="17"/>
          <w:color w:val="auto"/>
        </w:rPr>
        <w:t>distribution as a dividend. AnaptysBio, Inc. or other applicable withholding agents may be required or permitted to withhold at the applicable rate on all or a portion of the distribution payable to Non-U.S. holders (as defined in “</w:t>
      </w:r>
      <w:r>
        <w:rPr>
          <w:rFonts w:ascii="Times New Roman" w:cs="Times New Roman" w:eastAsia="Times New Roman" w:hAnsi="Times New Roman"/>
          <w:sz w:val="17"/>
          <w:szCs w:val="17"/>
          <w:i w:val="1"/>
          <w:iCs w:val="1"/>
          <w:color w:val="auto"/>
        </w:rPr>
        <w:t>Material U.S. Federal Income Tax Consequences of the Spin-Off</w:t>
      </w:r>
      <w:r>
        <w:rPr>
          <w:rFonts w:ascii="Times New Roman" w:cs="Times New Roman" w:eastAsia="Times New Roman" w:hAnsi="Times New Roman"/>
          <w:sz w:val="17"/>
          <w:szCs w:val="17"/>
          <w:color w:val="auto"/>
        </w:rPr>
        <w:t>” of this information statement), and any such withholding would be satisfied by AnaptysBio, Inc. or such agent by withholding and selling a portion of the Biopharma Co. shares that otherwise would be distributable to Non-U.S. holders or by withholding from other property held in the Non-U.S. holder’s account with the withholding agent. See “</w:t>
      </w:r>
      <w:r>
        <w:rPr>
          <w:rFonts w:ascii="Times New Roman" w:cs="Times New Roman" w:eastAsia="Times New Roman" w:hAnsi="Times New Roman"/>
          <w:sz w:val="17"/>
          <w:szCs w:val="17"/>
          <w:i w:val="1"/>
          <w:iCs w:val="1"/>
          <w:color w:val="auto"/>
        </w:rPr>
        <w:t>Material U.S. Federal Income Tax Consequences of the Spin-Off</w:t>
      </w:r>
      <w:r>
        <w:rPr>
          <w:rFonts w:ascii="Times New Roman" w:cs="Times New Roman" w:eastAsia="Times New Roman" w:hAnsi="Times New Roman"/>
          <w:sz w:val="17"/>
          <w:szCs w:val="17"/>
          <w:color w:val="auto"/>
        </w:rPr>
        <w:t>” for further information.</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Are there risks to owning shares of Biopharma Co. common stock?</w:t>
      </w:r>
    </w:p>
    <w:p>
      <w:pPr>
        <w:spacing w:after="0" w:line="119" w:lineRule="exact"/>
        <w:rPr>
          <w:sz w:val="20"/>
          <w:szCs w:val="20"/>
          <w:color w:val="auto"/>
        </w:rPr>
      </w:pPr>
    </w:p>
    <w:p>
      <w:pPr>
        <w:ind w:left="300" w:right="160" w:hanging="2"/>
        <w:spacing w:after="0" w:line="284" w:lineRule="auto"/>
        <w:tabs>
          <w:tab w:leader="none" w:pos="5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Our business is subject to various risks, including risks relating to the Spin-Off. These risks are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information statement beginning on page 15. We encourage you to read that section carefully.</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Does Biopharma Co. intend to pay dividends?</w:t>
      </w:r>
    </w:p>
    <w:p>
      <w:pPr>
        <w:spacing w:after="0" w:line="121" w:lineRule="exact"/>
        <w:rPr>
          <w:sz w:val="20"/>
          <w:szCs w:val="20"/>
          <w:color w:val="auto"/>
        </w:rPr>
      </w:pPr>
    </w:p>
    <w:p>
      <w:pPr>
        <w:ind w:left="300" w:hanging="2"/>
        <w:spacing w:after="0" w:line="261" w:lineRule="auto"/>
        <w:tabs>
          <w:tab w:leader="none" w:pos="5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We currently intend to retain all available funds and any future earnings for use in the operation of our business and do not anticipate paying any dividends on shares of our common stock in the foreseeable future. Any future determination to declare dividends on shares of common stock will be made at the discretion of our Board and will depend on our financial condition, operating results, capital requirements, general business conditions and other factors that our Board may deem relevant. See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What will govern my rights as a Biopharma Co. stockholder?</w:t>
      </w:r>
    </w:p>
    <w:p>
      <w:pPr>
        <w:spacing w:after="0" w:line="121" w:lineRule="exact"/>
        <w:rPr>
          <w:sz w:val="20"/>
          <w:szCs w:val="20"/>
          <w:color w:val="auto"/>
        </w:rPr>
      </w:pPr>
    </w:p>
    <w:p>
      <w:pPr>
        <w:ind w:left="300" w:right="140" w:hanging="2"/>
        <w:spacing w:after="0" w:line="281" w:lineRule="auto"/>
        <w:tabs>
          <w:tab w:leader="none" w:pos="52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Your rights as a Biopharma Co. stockholder will be governed by Delaware Law, as well as our restated certificate of incorporation and restated bylaws. At the time of the Spin-Off, we expect that there will be no material differences in stockholder rights between the existing shares of AnaptysBio, Inc. common stock and shares of Biopharma Co. common stock. For additional details regarding shares of Biopharma Co. common stock and stockholder rights, see “</w:t>
      </w:r>
      <w:r>
        <w:rPr>
          <w:rFonts w:ascii="Times New Roman" w:cs="Times New Roman" w:eastAsia="Times New Roman" w:hAnsi="Times New Roman"/>
          <w:sz w:val="17"/>
          <w:szCs w:val="17"/>
          <w:i w:val="1"/>
          <w:iCs w:val="1"/>
          <w:color w:val="auto"/>
        </w:rPr>
        <w:t>Description of Capital Stock</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Risk Factors—Risks Related to Ownership of Our Common Stock</w:t>
      </w:r>
      <w:r>
        <w:rPr>
          <w:rFonts w:ascii="Times New Roman" w:cs="Times New Roman" w:eastAsia="Times New Roman" w:hAnsi="Times New Roman"/>
          <w:sz w:val="17"/>
          <w:szCs w:val="17"/>
          <w:color w:val="auto"/>
        </w:rPr>
        <w:t>.”</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Do I have appraisal rights in connection with the Spin-Off?</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No. Holders of shares of AnaptysBio, Inc. common stock are not entitled to appraisal rights in connection with the Spin-Off.</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Who is the transfer agent for the shares of Biopharma Co. common stock?</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Equiniti Trust Company, LLC will be the transfer agent for shares of Biopharma Co. common stock.</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Where can AnaptysBio, Inc. stockholders get more information?</w:t>
      </w:r>
    </w:p>
    <w:p>
      <w:pPr>
        <w:spacing w:after="0" w:line="121" w:lineRule="exact"/>
        <w:rPr>
          <w:sz w:val="20"/>
          <w:szCs w:val="20"/>
          <w:color w:val="auto"/>
        </w:rPr>
      </w:pPr>
    </w:p>
    <w:p>
      <w:pPr>
        <w:ind w:left="300" w:right="540" w:hanging="2"/>
        <w:spacing w:after="0" w:line="282" w:lineRule="auto"/>
        <w:tabs>
          <w:tab w:leader="none" w:pos="52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any questions relating to the mechanics of the distribution of shares of Biopharma Co. common stock, you should contact the Distribution Agent at:</w:t>
      </w:r>
    </w:p>
    <w:p>
      <w:pPr>
        <w:spacing w:after="0" w:line="16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Equiniti Trust Company, LLC</w:t>
      </w:r>
    </w:p>
    <w:p>
      <w:pPr>
        <w:spacing w:after="0" w:line="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P.O. Box 64854</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St. Paul, MN 55164-0854</w:t>
      </w:r>
    </w:p>
    <w:p>
      <w:pPr>
        <w:spacing w:after="0" w:line="3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Confidential Treatment Requested by Biopharma Company, Inc.</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1332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1332865"/>
                    </a:xfrm>
                    <a:prstGeom prst="rect">
                      <a:avLst/>
                    </a:prstGeom>
                    <a:noFill/>
                  </pic:spPr>
                </pic:pic>
              </a:graphicData>
            </a:graphic>
          </wp:anchor>
        </w:drawing>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you have any questions relating to the Spin-Off or regarding Biopharma Co., you should contact: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AnaptysBio, Inc.</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10770 Wateridge Circle, Suite 210</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Biopharma Co. investor website will be operational following the Spin-Off.</w:t>
      </w:r>
    </w:p>
    <w:p>
      <w:pPr>
        <w:spacing w:after="0" w:line="34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139"/>
          </w:cols>
          <w:pgMar w:left="320" w:top="455"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030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9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INFORMATION STATEMENT SUMMARY</w:t>
      </w:r>
    </w:p>
    <w:p>
      <w:pPr>
        <w:spacing w:after="0" w:line="227" w:lineRule="exact"/>
        <w:rPr>
          <w:sz w:val="20"/>
          <w:szCs w:val="20"/>
          <w:color w:val="auto"/>
        </w:rPr>
      </w:pPr>
    </w:p>
    <w:p>
      <w:pPr>
        <w:ind w:left="300" w:right="20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information statement relating to our Company, our separation from AnaptysBio, Inc. and the distribution of shares of our common stock by AnaptysBio, Inc. to its stockholders. For a more complete understanding of our business and the Spin-Off, you should read carefully the more detailed information set forth under the sections “Risk Factors,” “Management’s Discussion and Analysis of Financial Condition and Results of Operations,” “The Spin-Off,” as well as the audited combined financial statements and other information included elsewhere in this information statement. Unless the context otherwise requires, we use the terms “Biopharma Company, Inc.,” “Biopharma Co,” “Company,” “we,” “us” and “our” in this information statement to refer to Biopharma Company, Inc.</w:t>
      </w:r>
    </w:p>
    <w:p>
      <w:pPr>
        <w:spacing w:after="0" w:line="2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We are a clinical-stage biotechnology company focused on delivering innovative immunology therapeutics for autoimmune and inflammatory diseases. Our clinical-stage pipeline includes rosnilimab, a selective pathogenic T cell depleter, for which we completed a Phase 2b trial for the treatment of moderate-to-severe rheumatoid arthritis (“RA”), ANB033, a CD122 antagonist, in a Phase 1b trial for celiac disease (“CeD”) and eosinophilic esophagitis (“EoE”), and ANB101, a BDCA2 modulator, in a Phase 1a trial.</w:t>
      </w:r>
    </w:p>
    <w:p>
      <w:pPr>
        <w:spacing w:after="0" w:line="2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Reasons for the Spin-Off</w:t>
      </w:r>
    </w:p>
    <w:p>
      <w:pPr>
        <w:spacing w:after="0" w:line="121" w:lineRule="exact"/>
        <w:rPr>
          <w:sz w:val="20"/>
          <w:szCs w:val="20"/>
          <w:color w:val="auto"/>
        </w:rPr>
      </w:pPr>
    </w:p>
    <w:p>
      <w:pPr>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The AnaptysBio, Inc. Board determined upon careful review and consideration that our separation from the rest of AnaptysBio, Inc. and the establishment of Biopharma Co. as a separate, publicly-traded company, was in the best interest of AnaptysBio, Inc. for a number of reasons, including:</w:t>
      </w:r>
    </w:p>
    <w:p>
      <w:pPr>
        <w:spacing w:after="0" w:line="79" w:lineRule="exact"/>
        <w:rPr>
          <w:sz w:val="20"/>
          <w:szCs w:val="20"/>
          <w:color w:val="auto"/>
        </w:rPr>
      </w:pPr>
    </w:p>
    <w:p>
      <w:pPr>
        <w:ind w:left="1240" w:hanging="415"/>
        <w:spacing w:after="0" w:line="256"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Strategic Focus. </w:t>
      </w:r>
      <w:r>
        <w:rPr>
          <w:rFonts w:ascii="Times New Roman" w:cs="Times New Roman" w:eastAsia="Times New Roman" w:hAnsi="Times New Roman"/>
          <w:sz w:val="18"/>
          <w:szCs w:val="18"/>
          <w:color w:val="auto"/>
        </w:rPr>
        <w:t>The separation will allow each of Biopharma Co. and AnaptysBio, Inc. to focus on their distinctive set of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objectives and unique opportunities for long-term growth and profitability and to tailor capital and corporate resources to each company’s distinct operating and financial objectives. Specifically, AnaptysBio, Inc. will pursue a strategy of managing the rights to the dostarlimab royalties from the GSK Collaboration and imsidolimab royalties from the Vanda Collaboration, with a focus on protecting and returning the value of the royalties to AnaptysBio, Inc. stockholders. Biopharma Co. will pursue a strategy of clinical-stage biotechnology product development and potential commercialization, focused on innovative therapeutics for autoimmune and inflammatory diseases, including rosnilimab, ANB033 and ANB101.</w:t>
      </w:r>
    </w:p>
    <w:p>
      <w:pPr>
        <w:spacing w:after="0" w:line="88" w:lineRule="exact"/>
        <w:rPr>
          <w:rFonts w:ascii="Times New Roman" w:cs="Times New Roman" w:eastAsia="Times New Roman" w:hAnsi="Times New Roman"/>
          <w:sz w:val="18"/>
          <w:szCs w:val="18"/>
          <w:color w:val="auto"/>
        </w:rPr>
      </w:pPr>
    </w:p>
    <w:p>
      <w:pPr>
        <w:ind w:left="1240" w:right="20" w:hanging="415"/>
        <w:spacing w:after="0" w:line="284"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Strategic Flexibility. </w:t>
      </w:r>
      <w:r>
        <w:rPr>
          <w:rFonts w:ascii="Times New Roman" w:cs="Times New Roman" w:eastAsia="Times New Roman" w:hAnsi="Times New Roman"/>
          <w:sz w:val="18"/>
          <w:szCs w:val="18"/>
          <w:color w:val="auto"/>
        </w:rPr>
        <w:t>The separation will provide each company with increased flexibility to pursue independent strategic and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without considering competing priorities of the other business.</w:t>
      </w:r>
    </w:p>
    <w:p>
      <w:pPr>
        <w:spacing w:after="0" w:line="63" w:lineRule="exact"/>
        <w:rPr>
          <w:rFonts w:ascii="Times New Roman" w:cs="Times New Roman" w:eastAsia="Times New Roman" w:hAnsi="Times New Roman"/>
          <w:sz w:val="18"/>
          <w:szCs w:val="18"/>
          <w:color w:val="auto"/>
        </w:rPr>
      </w:pPr>
    </w:p>
    <w:p>
      <w:pPr>
        <w:ind w:left="1240" w:right="240" w:hanging="415"/>
        <w:spacing w:after="0" w:line="267"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Allocation. </w:t>
      </w:r>
      <w:r>
        <w:rPr>
          <w:rFonts w:ascii="Times New Roman" w:cs="Times New Roman" w:eastAsia="Times New Roman" w:hAnsi="Times New Roman"/>
          <w:sz w:val="18"/>
          <w:szCs w:val="18"/>
          <w:color w:val="auto"/>
        </w:rPr>
        <w:t>The separation will enable each of Biopharma Co. and AnaptysBio, Inc. to create independent capital structures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will afford each company direct access to capital markets to tailor capital allocation priorities to their respective strategies and business needs.</w:t>
      </w:r>
    </w:p>
    <w:p>
      <w:pPr>
        <w:spacing w:after="0" w:line="78" w:lineRule="exact"/>
        <w:rPr>
          <w:rFonts w:ascii="Times New Roman" w:cs="Times New Roman" w:eastAsia="Times New Roman" w:hAnsi="Times New Roman"/>
          <w:sz w:val="18"/>
          <w:szCs w:val="18"/>
          <w:color w:val="auto"/>
        </w:rPr>
      </w:pPr>
    </w:p>
    <w:p>
      <w:pPr>
        <w:ind w:left="1240" w:right="320" w:hanging="415"/>
        <w:spacing w:after="0" w:line="315" w:lineRule="auto"/>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Investor Choice. </w:t>
      </w:r>
      <w:r>
        <w:rPr>
          <w:rFonts w:ascii="Times New Roman" w:cs="Times New Roman" w:eastAsia="Times New Roman" w:hAnsi="Times New Roman"/>
          <w:sz w:val="17"/>
          <w:szCs w:val="17"/>
          <w:color w:val="auto"/>
        </w:rPr>
        <w:t>The separation will allow investors to evaluate the separate investment characteristics of each company and align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their investment philosophies and portfolio allocation with the strategic opportunities and financial objectives of each company.</w:t>
      </w:r>
    </w:p>
    <w:p>
      <w:pPr>
        <w:spacing w:after="0" w:line="137"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The anticipated benefits of the Spin-Off are based on a number of assumptions, and there can be no assurance that such benefits will materialize to the extent anticipated, or at all. In the event the Spin-Off does not result in such benefits, the costs associated with the Spin-Off could have a material adverse effect on each company individually and in the aggregate.</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516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516245"/>
                    </a:xfrm>
                    <a:prstGeom prst="rect">
                      <a:avLst/>
                    </a:prstGeom>
                    <a:noFill/>
                  </pic:spPr>
                </pic:pic>
              </a:graphicData>
            </a:graphic>
          </wp:anchor>
        </w:drawing>
      </w:r>
    </w:p>
    <w:p>
      <w:pPr>
        <w:spacing w:after="0" w:line="2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Our Wholly Owned Clinical Stage Pipeline</w:t>
      </w:r>
    </w:p>
    <w:p>
      <w:pPr>
        <w:spacing w:after="0" w:line="121" w:lineRule="exact"/>
        <w:rPr>
          <w:sz w:val="20"/>
          <w:szCs w:val="20"/>
          <w:color w:val="auto"/>
        </w:rPr>
      </w:pPr>
    </w:p>
    <w:p>
      <w:pPr>
        <w:jc w:val="both"/>
        <w:ind w:left="300" w:right="340" w:firstLine="426"/>
        <w:spacing w:after="0" w:line="266" w:lineRule="auto"/>
        <w:rPr>
          <w:sz w:val="20"/>
          <w:szCs w:val="20"/>
          <w:color w:val="auto"/>
        </w:rPr>
      </w:pPr>
      <w:r>
        <w:rPr>
          <w:rFonts w:ascii="Times New Roman" w:cs="Times New Roman" w:eastAsia="Times New Roman" w:hAnsi="Times New Roman"/>
          <w:sz w:val="18"/>
          <w:szCs w:val="18"/>
          <w:color w:val="auto"/>
        </w:rPr>
        <w:t>Our antibodies are in development to treat inflammatory diseases. We believe these molecules have potential applicability across a broad range of autoimmune and inflammatory diseases, including in gastroenterology, rheumatology, dermatology, respiratory, and other therapeutic areas.</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Rosnilimab</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Rosnilimab is an IgG1 antibody that directly targets pathogenic T cells, such as activated Tph/Tfh and T effector cells, in the periphery or inflamed tissue. These T cells, when activated, proliferate and migrate, and secrete the inflammatory cytokines that are the drivers of autoimmune and inflammatory diseases. Rosnilimab is designed to selectively deplete pathogenic T cells in both inflamed tissue and the periphery while sparing non-pathogenic T cells, including naïve T cells, to preserve overall immune function and restore immune homeostasis. This drives specific immunological outcomes, such as a reduction in T cell proliferation, migration and cytokine secretion, and a reduction of plasma cell generation and autoantibody levels.</w:t>
      </w:r>
    </w:p>
    <w:p>
      <w:pPr>
        <w:spacing w:after="0" w:line="2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ANB033</w:t>
      </w:r>
    </w:p>
    <w:p>
      <w:pPr>
        <w:spacing w:after="0" w:line="121"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ANB033 is an antagonist of CD122, the common beta subunit shared by the IL-15 and IL-2 receptors. IL-15 and IL-2 signaling mediate the proliferation and survival of subsets of CD8+ and CD4 T+ cells, NK cells, as well as ILC2s. ANB033 is an antibody designed with an optimal epitope and affinity to CD122 that inhibits IL-15 and IL-2 signaling through both the intermediate affinity IL-2 receptor (comprised of CD122 and the common gamma subunit, CD132) and the high affinity IL-2 receptor (comprised of CD122, CD132 and the alpha receptor subunit for IL-2, CD25) expressed by activated CD4 Th1 and Th2 T cells as well as ILC2. Antagonizing CD122 has the potential to achieve and maintain remission of inflammation through the reduction of disease-causing cytolytic CD8 T cell subsets, including intraepithelial lymphocytes (“IELs”), NK cells and reducing inflammatory cytokine secretion by activated CD4+ Th1 and Th2 cells, as well as ILC2 cells.</w:t>
      </w:r>
    </w:p>
    <w:p>
      <w:pPr>
        <w:spacing w:after="0" w:line="2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ANB101</w:t>
      </w:r>
    </w:p>
    <w:p>
      <w:pPr>
        <w:spacing w:after="0" w:line="121" w:lineRule="exact"/>
        <w:rPr>
          <w:sz w:val="20"/>
          <w:szCs w:val="20"/>
          <w:color w:val="auto"/>
        </w:rPr>
      </w:pPr>
    </w:p>
    <w:p>
      <w:pPr>
        <w:ind w:left="300" w:right="80" w:firstLine="426"/>
        <w:spacing w:after="0" w:line="254" w:lineRule="auto"/>
        <w:rPr>
          <w:sz w:val="20"/>
          <w:szCs w:val="20"/>
          <w:color w:val="auto"/>
        </w:rPr>
      </w:pPr>
      <w:r>
        <w:rPr>
          <w:rFonts w:ascii="Times New Roman" w:cs="Times New Roman" w:eastAsia="Times New Roman" w:hAnsi="Times New Roman"/>
          <w:sz w:val="18"/>
          <w:szCs w:val="18"/>
          <w:color w:val="auto"/>
        </w:rPr>
        <w:t>ANB101 is a blood dendritic cell antigen 2 (“BDCA2”) modulator antibody that targets phasmacytoid dendritic cells (“pDCs”) and inhibits interferon secretion and modulates antigen presentation for the treatment of autoimmune and inflammatory diseases. BDCA2 is a molecule specifically expressed on pDCs, a class of immune cells which, while found in relatively small numbers in healthy individuals, are enriched in patients with a variety of inflammatory diseases, that is critical to the regulation of toll-like receptor signaling and interferon secretion. pDCs are a key upstream node in the inflammatory cascade that serve as a bridge between innate and adaptive immunity. They have been shown to be prolific secretors of type I interferons, which drive activation of a variety of downstream cell types including T cells and monocytes. Together with their ability to present antigens to the adaptive immune system, this creates a pro-inflammatory environment for the establishment and perpetuation of autoimmune pathology. BDCA2 has been implicated in the pathophysiology of systemic lupus erythematosus (“SLE”), where there exists mechanistic clinical proof of concept for pDC modulation.</w:t>
      </w:r>
    </w:p>
    <w:p>
      <w:pPr>
        <w:spacing w:after="0" w:line="186" w:lineRule="exact"/>
        <w:rPr>
          <w:sz w:val="20"/>
          <w:szCs w:val="20"/>
          <w:color w:val="auto"/>
        </w:rPr>
      </w:pPr>
    </w:p>
    <w:p>
      <w:pPr>
        <w:ind w:left="300" w:right="220" w:firstLine="426"/>
        <w:spacing w:after="0" w:line="284" w:lineRule="auto"/>
        <w:rPr>
          <w:sz w:val="20"/>
          <w:szCs w:val="20"/>
          <w:color w:val="auto"/>
        </w:rPr>
      </w:pPr>
      <w:r>
        <w:rPr>
          <w:rFonts w:ascii="Times New Roman" w:cs="Times New Roman" w:eastAsia="Times New Roman" w:hAnsi="Times New Roman"/>
          <w:sz w:val="18"/>
          <w:szCs w:val="18"/>
          <w:color w:val="auto"/>
        </w:rPr>
        <w:t>Please refer to “</w:t>
      </w:r>
      <w:r>
        <w:rPr>
          <w:rFonts w:ascii="Times New Roman" w:cs="Times New Roman" w:eastAsia="Times New Roman" w:hAnsi="Times New Roman"/>
          <w:sz w:val="18"/>
          <w:szCs w:val="18"/>
          <w:i w:val="1"/>
          <w:iCs w:val="1"/>
          <w:color w:val="auto"/>
        </w:rPr>
        <w:t>Business—Our Wholly Owned Clinical Stage Pipeline</w:t>
      </w:r>
      <w:r>
        <w:rPr>
          <w:rFonts w:ascii="Times New Roman" w:cs="Times New Roman" w:eastAsia="Times New Roman" w:hAnsi="Times New Roman"/>
          <w:sz w:val="18"/>
          <w:szCs w:val="18"/>
          <w:color w:val="auto"/>
        </w:rPr>
        <w:t>” for a discussion of the trials and trial results of each of our product candidates.</w:t>
      </w:r>
    </w:p>
    <w:p>
      <w:pPr>
        <w:spacing w:after="0" w:line="2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7417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741795"/>
                    </a:xfrm>
                    <a:prstGeom prst="rect">
                      <a:avLst/>
                    </a:prstGeom>
                    <a:noFill/>
                  </pic:spPr>
                </pic:pic>
              </a:graphicData>
            </a:graphic>
          </wp:anchor>
        </w:drawing>
      </w:r>
    </w:p>
    <w:p>
      <w:pPr>
        <w:spacing w:after="0" w:line="2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summarizes certain key information about our wholly owned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20" w:hanging="422"/>
        <w:spacing w:after="0" w:line="261"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complete data from Phase 2b trial of rosnilimab was accepted as a late breaking abstract for oral presentation at American College Rheumatology (ACR) Convergence 2025 in October 2025. (A late breaking abstract is a special submission for a scientific conference, which presents new significant research findings or breakthroughs that become available after the regular abstract submission deadline for a conference expires.) We expect to provide an update on potential Phase 3 advancement in the first half of 2026.</w:t>
      </w:r>
    </w:p>
    <w:p>
      <w:pPr>
        <w:spacing w:after="0" w:line="283"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We are a clinical-stage biotechnology company focused on delivering innovative immunology therapeutics. Our antibodies modulate key nodes governing the body’s regulation of autoimmunity and inflammation. Dysregulated immune responses may result in abnormal and pathological inflammation in diseases with large and substantially underserved patient populations in therapeutic areas including but not limited to gastroenterology, rheumatology, dermatology, and respiratory. The key elements of our strategy include:</w:t>
      </w:r>
    </w:p>
    <w:p>
      <w:pPr>
        <w:spacing w:after="0" w:line="85" w:lineRule="exact"/>
        <w:rPr>
          <w:sz w:val="20"/>
          <w:szCs w:val="20"/>
          <w:color w:val="auto"/>
        </w:rPr>
      </w:pPr>
    </w:p>
    <w:p>
      <w:pPr>
        <w:ind w:left="1240" w:hanging="415"/>
        <w:spacing w:after="0"/>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broad development of our autoimmunity and inflammation-focused portfolio.</w:t>
      </w:r>
    </w:p>
    <w:p>
      <w:pPr>
        <w:spacing w:after="0" w:line="130" w:lineRule="exact"/>
        <w:rPr>
          <w:rFonts w:ascii="Times New Roman" w:cs="Times New Roman" w:eastAsia="Times New Roman" w:hAnsi="Times New Roman"/>
          <w:sz w:val="18"/>
          <w:szCs w:val="18"/>
          <w:color w:val="auto"/>
        </w:rPr>
      </w:pPr>
    </w:p>
    <w:p>
      <w:pPr>
        <w:ind w:left="1240" w:right="220" w:hanging="415"/>
        <w:spacing w:after="0" w:line="266" w:lineRule="auto"/>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translational and clinical data to characterize the mechanism and differentiation of our molecules from in-class competitors, other modalities in clinical development, and relative to standard of care, to optimize development of our molecules to address diseases and patient subsets with unmet medical need.</w:t>
      </w:r>
    </w:p>
    <w:p>
      <w:pPr>
        <w:spacing w:after="0" w:line="81"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Innovating clinical development and execution to efficiently and optimally achieve proof-of-concept and execute registrational studies in key global markets.</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320" w:top="455" w:right="6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236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6236335"/>
                    </a:xfrm>
                    <a:prstGeom prst="rect">
                      <a:avLst/>
                    </a:prstGeom>
                    <a:noFill/>
                  </pic:spPr>
                </pic:pic>
              </a:graphicData>
            </a:graphic>
          </wp:anchor>
        </w:drawing>
      </w:r>
    </w:p>
    <w:p>
      <w:pPr>
        <w:spacing w:after="0" w:line="295" w:lineRule="exact"/>
        <w:rPr>
          <w:sz w:val="20"/>
          <w:szCs w:val="20"/>
          <w:color w:val="auto"/>
        </w:rPr>
      </w:pPr>
    </w:p>
    <w:p>
      <w:pPr>
        <w:ind w:left="1240" w:right="160" w:hanging="415"/>
        <w:spacing w:after="0" w:line="282" w:lineRule="auto"/>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global commercialization of our product candidates while retaining rights in key commercial markets to enable us to become a fully integrated development and commercial organization.</w:t>
      </w:r>
    </w:p>
    <w:p>
      <w:pPr>
        <w:spacing w:after="0" w:line="67"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leverage our research expertise to identify, license and/or innovate potentially best-in-class antibodies against high-value immunological targets.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Maximizing return on equity through efficient execution against a multi-year capital and operating plan.</w:t>
      </w:r>
    </w:p>
    <w:p>
      <w:pPr>
        <w:spacing w:after="0" w:line="223" w:lineRule="exact"/>
        <w:rPr>
          <w:sz w:val="20"/>
          <w:szCs w:val="20"/>
          <w:color w:val="auto"/>
        </w:rPr>
      </w:pPr>
    </w:p>
    <w:p>
      <w:pPr>
        <w:ind w:left="300" w:right="180" w:firstLine="426"/>
        <w:spacing w:after="0" w:line="284" w:lineRule="auto"/>
        <w:rPr>
          <w:sz w:val="20"/>
          <w:szCs w:val="20"/>
          <w:color w:val="auto"/>
        </w:rPr>
      </w:pPr>
      <w:r>
        <w:rPr>
          <w:rFonts w:ascii="Times New Roman" w:cs="Times New Roman" w:eastAsia="Times New Roman" w:hAnsi="Times New Roman"/>
          <w:sz w:val="18"/>
          <w:szCs w:val="18"/>
          <w:color w:val="auto"/>
        </w:rPr>
        <w:t>As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information statement, executing on our strategy is subject to a wide range of risks and uncertainties, any of which could cause our actual development strategy or timeframes to vary.</w:t>
      </w:r>
    </w:p>
    <w:p>
      <w:pPr>
        <w:spacing w:after="0" w:line="2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jc w:val="both"/>
        <w:ind w:left="300" w:right="340" w:firstLine="426"/>
        <w:spacing w:after="0" w:line="266" w:lineRule="auto"/>
        <w:rPr>
          <w:sz w:val="20"/>
          <w:szCs w:val="20"/>
          <w:color w:val="auto"/>
        </w:rPr>
      </w:pPr>
      <w:r>
        <w:rPr>
          <w:rFonts w:ascii="Times New Roman" w:cs="Times New Roman" w:eastAsia="Times New Roman" w:hAnsi="Times New Roman"/>
          <w:sz w:val="18"/>
          <w:szCs w:val="18"/>
          <w:color w:val="auto"/>
        </w:rPr>
        <w:t>An investment in shares of our common stock involves various risks. Please carefully consider the matters discussed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information statement for a description of the principal risks that we face. These risks include, but are not limited to, the following:</w:t>
      </w:r>
    </w:p>
    <w:p>
      <w:pPr>
        <w:spacing w:after="0" w:line="81" w:lineRule="exact"/>
        <w:rPr>
          <w:sz w:val="20"/>
          <w:szCs w:val="20"/>
          <w:color w:val="auto"/>
        </w:rPr>
      </w:pPr>
    </w:p>
    <w:p>
      <w:pPr>
        <w:ind w:left="1240" w:right="40" w:hanging="415"/>
        <w:spacing w:after="0" w:line="261" w:lineRule="auto"/>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in development may fail or suffer delays that adversely affect their commercial viability. Results from our initial clinical trials may not be representative of the results we will experience in later clinical trials. If we or any future collaborators are unable to complete development of or commercialize our product candidates or experience significant delays in doing so, our business will be materially harmed.</w:t>
      </w:r>
    </w:p>
    <w:p>
      <w:pPr>
        <w:spacing w:after="0" w:line="85"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and planned clinical trials, or those of any future collaborators, may reveal significant adverse events, toxicities or other side effects and may result in a safety profile that could inhibit regulatory approval or market acceptance of any of our product candidates.</w:t>
      </w:r>
    </w:p>
    <w:p>
      <w:pPr>
        <w:spacing w:after="0" w:line="81" w:lineRule="exact"/>
        <w:rPr>
          <w:rFonts w:ascii="Times New Roman" w:cs="Times New Roman" w:eastAsia="Times New Roman" w:hAnsi="Times New Roman"/>
          <w:sz w:val="18"/>
          <w:szCs w:val="18"/>
          <w:color w:val="auto"/>
        </w:rPr>
      </w:pPr>
    </w:p>
    <w:p>
      <w:pPr>
        <w:jc w:val="both"/>
        <w:ind w:left="1240" w:right="60" w:hanging="415"/>
        <w:spacing w:after="0" w:line="266" w:lineRule="auto"/>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future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 if our product candidates receive regulatory approval, they will be subject to significant post-marketing regulatory requirements.</w:t>
      </w:r>
    </w:p>
    <w:p>
      <w:pPr>
        <w:spacing w:after="0" w:line="142" w:lineRule="exact"/>
        <w:rPr>
          <w:rFonts w:ascii="Times New Roman" w:cs="Times New Roman" w:eastAsia="Times New Roman" w:hAnsi="Times New Roman"/>
          <w:sz w:val="17"/>
          <w:szCs w:val="17"/>
          <w:color w:val="auto"/>
        </w:rPr>
      </w:pPr>
    </w:p>
    <w:p>
      <w:pPr>
        <w:ind w:left="1240" w:hanging="415"/>
        <w:spacing w:after="0"/>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expand our pipeline of product candidates and develop marketable products.</w:t>
      </w:r>
    </w:p>
    <w:p>
      <w:pPr>
        <w:spacing w:after="0" w:line="130" w:lineRule="exact"/>
        <w:rPr>
          <w:rFonts w:ascii="Times New Roman" w:cs="Times New Roman" w:eastAsia="Times New Roman" w:hAnsi="Times New Roman"/>
          <w:sz w:val="18"/>
          <w:szCs w:val="18"/>
          <w:color w:val="auto"/>
        </w:rPr>
      </w:pPr>
    </w:p>
    <w:p>
      <w:pPr>
        <w:ind w:left="1240" w:right="420" w:hanging="415"/>
        <w:spacing w:after="0" w:line="282" w:lineRule="auto"/>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assessing advancement to Phase 3 of clinical development of rosnilimab for RA, and have no history of commercializing biotechnology products, which may make it difficult to evaluate the prospects for our future viability.</w:t>
      </w:r>
    </w:p>
    <w:p>
      <w:pPr>
        <w:spacing w:after="0" w:line="67"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and market products that are more effective, safer or less expensive than our product candidates, our commercial opportunities will be negatively impacted.</w:t>
      </w:r>
    </w:p>
    <w:p>
      <w:pPr>
        <w:spacing w:after="0" w:line="67"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achieve adequate market acceptance among physicians, patients, health care payors and others in the medical community necessary for commercial success.</w:t>
      </w:r>
    </w:p>
    <w:p>
      <w:pPr>
        <w:spacing w:after="0" w:line="67" w:lineRule="exact"/>
        <w:rPr>
          <w:rFonts w:ascii="Times New Roman" w:cs="Times New Roman" w:eastAsia="Times New Roman" w:hAnsi="Times New Roman"/>
          <w:sz w:val="18"/>
          <w:szCs w:val="18"/>
          <w:color w:val="auto"/>
        </w:rPr>
      </w:pPr>
    </w:p>
    <w:p>
      <w:pPr>
        <w:jc w:val="both"/>
        <w:ind w:left="1240" w:right="280" w:hanging="415"/>
        <w:spacing w:after="0" w:line="266" w:lineRule="auto"/>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81"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biologics is complex, and our third-party manufacturers may encounter difficulties in production. If any of our third-party manufacturers encounter such difficulties, our ability to provide</w:t>
      </w:r>
    </w:p>
    <w:p>
      <w:pPr>
        <w:spacing w:after="0" w:line="2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320" w:top="455" w:right="6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39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6390640"/>
                    </a:xfrm>
                    <a:prstGeom prst="rect">
                      <a:avLst/>
                    </a:prstGeom>
                    <a:noFill/>
                  </pic:spPr>
                </pic:pic>
              </a:graphicData>
            </a:graphic>
          </wp:anchor>
        </w:drawing>
      </w:r>
    </w:p>
    <w:p>
      <w:pPr>
        <w:spacing w:after="0" w:line="295" w:lineRule="exact"/>
        <w:rPr>
          <w:sz w:val="20"/>
          <w:szCs w:val="20"/>
          <w:color w:val="auto"/>
        </w:rPr>
      </w:pPr>
    </w:p>
    <w:p>
      <w:pPr>
        <w:ind w:left="1240" w:right="280"/>
        <w:spacing w:after="0" w:line="282" w:lineRule="auto"/>
        <w:rPr>
          <w:sz w:val="20"/>
          <w:szCs w:val="20"/>
          <w:color w:val="auto"/>
        </w:rPr>
      </w:pPr>
      <w:r>
        <w:rPr>
          <w:rFonts w:ascii="Times New Roman" w:cs="Times New Roman" w:eastAsia="Times New Roman" w:hAnsi="Times New Roman"/>
          <w:sz w:val="18"/>
          <w:szCs w:val="18"/>
          <w:color w:val="auto"/>
        </w:rPr>
        <w:t>supply of our product candidates for clinical trials, our ability to obtain marketing approval, or our ability to provide supply of our products for patients, if approved, could be delayed or stopped.</w:t>
      </w:r>
    </w:p>
    <w:p>
      <w:pPr>
        <w:spacing w:after="0" w:line="67" w:lineRule="exact"/>
        <w:rPr>
          <w:sz w:val="20"/>
          <w:szCs w:val="20"/>
          <w:color w:val="auto"/>
        </w:rPr>
      </w:pPr>
    </w:p>
    <w:p>
      <w:pPr>
        <w:ind w:left="1240" w:right="200" w:hanging="415"/>
        <w:spacing w:after="0" w:line="266" w:lineRule="auto"/>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or public health events may have a material impact on the U.S. and global economies and could have a material adverse impact on our employees, contractors and patients, which could adversely and materially impact our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operating revenue and a history of operational losses and may not achieve or sustain profitability.</w:t>
      </w:r>
    </w:p>
    <w:p>
      <w:pPr>
        <w:spacing w:after="0" w:line="130"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products approved for commercial sale, and to date we have not generated any revenue or profit from sales of our product candidates.</w:t>
      </w:r>
    </w:p>
    <w:p>
      <w:pPr>
        <w:spacing w:after="0" w:line="67" w:lineRule="exact"/>
        <w:rPr>
          <w:rFonts w:ascii="Times New Roman" w:cs="Times New Roman" w:eastAsia="Times New Roman" w:hAnsi="Times New Roman"/>
          <w:sz w:val="18"/>
          <w:szCs w:val="18"/>
          <w:color w:val="auto"/>
        </w:rPr>
      </w:pPr>
    </w:p>
    <w:p>
      <w:pPr>
        <w:ind w:left="1240" w:right="240" w:hanging="415"/>
        <w:spacing w:after="0" w:line="312" w:lineRule="auto"/>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45" w:lineRule="exact"/>
        <w:rPr>
          <w:rFonts w:ascii="Times New Roman" w:cs="Times New Roman" w:eastAsia="Times New Roman" w:hAnsi="Times New Roman"/>
          <w:sz w:val="17"/>
          <w:szCs w:val="17"/>
          <w:color w:val="auto"/>
        </w:rPr>
      </w:pPr>
    </w:p>
    <w:p>
      <w:pPr>
        <w:ind w:left="1240" w:hanging="415"/>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separation from AnaptysBio, Inc. into two independent, publicly traded companies is subject to various risks and uncertainties.</w:t>
      </w:r>
    </w:p>
    <w:p>
      <w:pPr>
        <w:spacing w:after="0" w:line="130" w:lineRule="exact"/>
        <w:rPr>
          <w:rFonts w:ascii="Times New Roman" w:cs="Times New Roman" w:eastAsia="Times New Roman" w:hAnsi="Times New Roman"/>
          <w:sz w:val="18"/>
          <w:szCs w:val="18"/>
          <w:color w:val="auto"/>
        </w:rPr>
      </w:pPr>
    </w:p>
    <w:p>
      <w:pPr>
        <w:ind w:left="1240" w:right="420" w:hanging="415"/>
        <w:spacing w:after="0" w:line="282" w:lineRule="auto"/>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succeed in establishing and maintaining additional development and commercialization collaborations, which could adversely affect our ability to develop and commercialize product candidates.</w:t>
      </w:r>
    </w:p>
    <w:p>
      <w:pPr>
        <w:spacing w:after="0" w:line="67"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or protect intellectual property rights in the U.S. and throughout the world, we may not be able to compete effectively in our market.</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attract and retain highly skilled employees in order to succeed.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achieve some or all of the benefits that we expect to achieve from the Spin-Off.</w:t>
      </w:r>
    </w:p>
    <w:p>
      <w:pPr>
        <w:spacing w:after="0" w:line="130" w:lineRule="exact"/>
        <w:rPr>
          <w:rFonts w:ascii="Times New Roman" w:cs="Times New Roman" w:eastAsia="Times New Roman" w:hAnsi="Times New Roman"/>
          <w:sz w:val="18"/>
          <w:szCs w:val="18"/>
          <w:color w:val="auto"/>
        </w:rPr>
      </w:pPr>
    </w:p>
    <w:p>
      <w:pPr>
        <w:ind w:left="1240" w:right="20" w:hanging="415"/>
        <w:spacing w:after="0" w:line="261" w:lineRule="auto"/>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market for shares of our common stock currently exists and an active trading market may not develop or be sustained after the Spin-Off. Following the Spin-Off, our share price may fluctuate significantly, and there can be no assurance that the combined trading prices of a share of our common stock and a share of AnaptysBio, Inc.’s common stock would exceed the trading price of a share of AnaptysBio, Inc. common stock absent the Spin-Off.</w:t>
      </w:r>
    </w:p>
    <w:p>
      <w:pPr>
        <w:spacing w:after="0" w:line="85"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sales of shares of our common stock may occur in connection with the Spin-Off, or in the future, which could cause our share price to decline or be volatile.</w:t>
      </w:r>
    </w:p>
    <w:p>
      <w:pPr>
        <w:spacing w:after="0" w:line="67" w:lineRule="exact"/>
        <w:rPr>
          <w:rFonts w:ascii="Times New Roman" w:cs="Times New Roman" w:eastAsia="Times New Roman" w:hAnsi="Times New Roman"/>
          <w:sz w:val="18"/>
          <w:szCs w:val="18"/>
          <w:color w:val="auto"/>
        </w:rPr>
      </w:pPr>
    </w:p>
    <w:p>
      <w:pPr>
        <w:ind w:left="1240" w:right="460" w:hanging="415"/>
        <w:spacing w:after="0" w:line="282" w:lineRule="auto"/>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shares following completion of the transaction may be affected by factors different from those affecting AnaptysBio, Inc. shares prior to completion of the transaction.</w:t>
      </w:r>
    </w:p>
    <w:p>
      <w:pPr>
        <w:spacing w:after="0" w:line="67"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recent history of operating as a standalone public company, and our historical financial information may not necessarily reflect the results that we would have achieved as a standalone public company or what our results may be in the future.</w:t>
      </w:r>
    </w:p>
    <w:p>
      <w:pPr>
        <w:spacing w:after="0" w:line="67"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share some of our directors and all executive officers with AnaptysBio, Inc. This overlap may give rise to certain conflicts of interest.</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were incorporated on October 17, 2025 under the laws of the State of Delaware as a direct, wholly owned subsidiary of AnaptysBio, Inc. Our principal executive office is located at 10770 Wateridge Circle, Suite 210, San Diego, California 92121, and our telephone number is (858) 362-6295. Our website address is www.         .com. Information contained on, or that can be accessed through, our website is not part of, and is not incorporated by reference into, this information statement. We have included our website address only as an inactive textual reference and do not intend it to be an active link to our website.</w:t>
      </w:r>
    </w:p>
    <w:p>
      <w:pPr>
        <w:spacing w:after="0" w:line="3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320" w:top="455" w:right="6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39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390640"/>
                    </a:xfrm>
                    <a:prstGeom prst="rect">
                      <a:avLst/>
                    </a:prstGeom>
                    <a:noFill/>
                  </pic:spPr>
                </pic:pic>
              </a:graphicData>
            </a:graphic>
          </wp:anchor>
        </w:drawing>
      </w:r>
    </w:p>
    <w:p>
      <w:pPr>
        <w:spacing w:after="0" w:line="2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(the “JOBS Act”). As an “emerging growth company,” we may, and intend to, take advantage of specified reduced reporting and other requirements that are otherwise applicable to public companies. These provisions include, among other things:</w:t>
      </w:r>
    </w:p>
    <w:p>
      <w:pPr>
        <w:spacing w:after="0" w:line="81" w:lineRule="exact"/>
        <w:rPr>
          <w:sz w:val="20"/>
          <w:szCs w:val="20"/>
          <w:color w:val="auto"/>
        </w:rPr>
      </w:pPr>
    </w:p>
    <w:p>
      <w:pPr>
        <w:ind w:left="1240" w:right="300" w:hanging="415"/>
        <w:spacing w:after="0" w:line="282" w:lineRule="auto"/>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auditor attestation requirement under Section 404(b) of the Sarbanes-Oxley Act of 2002 (the “Sarbanes-Oxley Act”) in the assessment of the effectiveness of our internal control over financial reporting;</w:t>
      </w:r>
    </w:p>
    <w:p>
      <w:pPr>
        <w:spacing w:after="0" w:line="67"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new or revised financial accounting standards applicable to public companies until such standards are also applicable to private companies;</w:t>
      </w:r>
    </w:p>
    <w:p>
      <w:pPr>
        <w:spacing w:after="0" w:line="67"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compliance with certain types of new requirements adopted by the Public Company Accounting Oversight Board (United States) (“PCAOB”);</w:t>
      </w:r>
    </w:p>
    <w:p>
      <w:pPr>
        <w:spacing w:after="0" w:line="67"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seek non-binding stockholder advisory votes on executive compensation and golden parachute arrangements;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executive compensation arrangements; and</w:t>
      </w:r>
    </w:p>
    <w:p>
      <w:pPr>
        <w:spacing w:after="0" w:line="130" w:lineRule="exact"/>
        <w:rPr>
          <w:rFonts w:ascii="Times New Roman" w:cs="Times New Roman" w:eastAsia="Times New Roman" w:hAnsi="Times New Roman"/>
          <w:sz w:val="18"/>
          <w:szCs w:val="18"/>
          <w:color w:val="auto"/>
        </w:rPr>
      </w:pPr>
    </w:p>
    <w:p>
      <w:pPr>
        <w:ind w:left="1240" w:right="400" w:hanging="415"/>
        <w:spacing w:after="0" w:line="266" w:lineRule="auto"/>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present only two years of audited financial statements and only two years of related “Management’s Discussion and Analysis of Financial Condition and Results of Operations” in our periodic reports and registration statements, including in this information statement.</w:t>
      </w:r>
    </w:p>
    <w:p>
      <w:pPr>
        <w:spacing w:after="0" w:line="176"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We may take advantage of these provisions until the end of the fiscal year following the fifth anniversary of the Spin-Off or such earlier time that we are no longer an “emerging growth company.” We will cease to be an “emerging growth company” if we have $1.235 billion or more in total annual gross revenue during our most recently completed fiscal year, if we become a “large accelerated filer” with the market value of shares of our common stock held by non-affiliates equal to at least $700 million as of the last business day of the second quarter of such fiscal year, or as of any date on which we have issued more than $1.0 billion in non-convertible debt over the three-year period to such date.</w:t>
      </w:r>
    </w:p>
    <w:p>
      <w:pPr>
        <w:spacing w:after="0" w:line="183"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We may choose to take advantage of some, but not all, of these reduced burdens. For example, we have (i) taken advantage of the reduced reporting requirement with respect to disclosure regarding our executive compensation arrangements and (ii) presented only two years of audited financial statements in this information statement. In addition, we may take advantage of the exemption from the auditor attestation requirement in the assessment on the effectiveness of our internal control over financial reporting. In addition, while we have elected to avail ourselves of the exemption to adopt new or revised accounting standards until those standards apply to private companies, we are permitted and may elect to early adopt certain new or revised accounting standards for which the respective standard allows for early adoption. We have elected to use this extended transition period for complying with certain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See Note 2—Summary of Significant Accounting Policies in our audited combined financial statements included elsewhere in this information statement for additional information. For as long as we take advantage of the reduced reporting obligations, the information that we provide to stockholders may be different from information provided by other similarly situated public companies.</w:t>
      </w:r>
    </w:p>
    <w:p>
      <w:pPr>
        <w:spacing w:after="0" w:line="2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21"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Additionally, we are a “smaller reporting company,” meaning that the market value of shares of our common stock held by non-affiliates is less than $700 million and our annual revenue is less than $100 million during the most recently completed fiscal year. As such, we are eligible for exemptions from various reporting</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320" w:top="455" w:right="6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7842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784225"/>
                    </a:xfrm>
                    <a:prstGeom prst="rect">
                      <a:avLst/>
                    </a:prstGeom>
                    <a:noFill/>
                  </pic:spPr>
                </pic:pic>
              </a:graphicData>
            </a:graphic>
          </wp:anchor>
        </w:drawing>
      </w:r>
    </w:p>
    <w:p>
      <w:pPr>
        <w:spacing w:after="0" w:line="295"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requirements applicable to other public companies that are not smaller reporting companies, including, but not limited to, reduced disclosure obligations regarding executive compensation. We may continue to be a smaller reporting company as long as either (i) the market value of shares of our common stock held by non-affiliates is less than $250 million or (ii) our annual revenue is less than $100 million during the most recently completed fiscal year and the market value of shares of our common stock held by non-affiliates is less than $700 million.</w:t>
      </w:r>
    </w:p>
    <w:p>
      <w:pPr>
        <w:spacing w:after="0" w:line="3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20"/>
          </w:cols>
          <w:pgMar w:left="320" w:top="455" w:right="7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0533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5053330"/>
                    </a:xfrm>
                    <a:prstGeom prst="rect">
                      <a:avLst/>
                    </a:prstGeom>
                    <a:noFill/>
                  </pic:spPr>
                </pic:pic>
              </a:graphicData>
            </a:graphic>
          </wp:anchor>
        </w:drawing>
      </w:r>
    </w:p>
    <w:p>
      <w:pPr>
        <w:spacing w:after="0" w:line="2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HISTORICAL AND UNAUDITED PRO FORMA COMBINED FINANCIAL DATA</w:t>
      </w:r>
    </w:p>
    <w:p>
      <w:pPr>
        <w:spacing w:after="0" w:line="229" w:lineRule="exact"/>
        <w:rPr>
          <w:sz w:val="20"/>
          <w:szCs w:val="20"/>
          <w:color w:val="auto"/>
        </w:rPr>
      </w:pPr>
    </w:p>
    <w:p>
      <w:pPr>
        <w:ind w:left="300" w:right="240" w:firstLine="426"/>
        <w:spacing w:after="0" w:line="256" w:lineRule="auto"/>
        <w:rPr>
          <w:sz w:val="20"/>
          <w:szCs w:val="20"/>
          <w:color w:val="auto"/>
        </w:rPr>
      </w:pPr>
      <w:r>
        <w:rPr>
          <w:rFonts w:ascii="Times New Roman" w:cs="Times New Roman" w:eastAsia="Times New Roman" w:hAnsi="Times New Roman"/>
          <w:sz w:val="18"/>
          <w:szCs w:val="18"/>
          <w:color w:val="auto"/>
        </w:rPr>
        <w:t>The following tables present our summary historical and unaudited pro forma combined financial data as of and for the periods indicated. We have derived our summary historical combined statements of operations data for the years ended December 31, 2025, 2024 and 2023, and our historical combined balance sheets data as of December 31, 2025 and 2024, from our audited combined financial statements included elsewhere in this information statement. The summary unaudited pro forma financial information has been derived from our unaudited pro forma financial information, which is included elsewhere in this information statement. Our historical results are not necessarily indicative of the results that may be expected for any future period.</w:t>
      </w:r>
    </w:p>
    <w:p>
      <w:pPr>
        <w:spacing w:after="0" w:line="187" w:lineRule="exact"/>
        <w:rPr>
          <w:sz w:val="20"/>
          <w:szCs w:val="20"/>
          <w:color w:val="auto"/>
        </w:rPr>
      </w:pPr>
    </w:p>
    <w:p>
      <w:pPr>
        <w:ind w:left="300" w:right="240" w:firstLine="426"/>
        <w:spacing w:after="0" w:line="255" w:lineRule="auto"/>
        <w:rPr>
          <w:sz w:val="20"/>
          <w:szCs w:val="20"/>
          <w:color w:val="auto"/>
        </w:rPr>
      </w:pPr>
      <w:r>
        <w:rPr>
          <w:rFonts w:ascii="Times New Roman" w:cs="Times New Roman" w:eastAsia="Times New Roman" w:hAnsi="Times New Roman"/>
          <w:sz w:val="18"/>
          <w:szCs w:val="18"/>
          <w:color w:val="auto"/>
        </w:rPr>
        <w:t>The summary financial data in this section are not intended to replace the financial statements and are qualified in their entirety by the financial statements and related notes included elsewhere in this information statement. The following summary historical and unaudited pro forma combined financial data should be read with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Unaudited Pro Forma Combined Financial Statements</w:t>
      </w:r>
      <w:r>
        <w:rPr>
          <w:rFonts w:ascii="Times New Roman" w:cs="Times New Roman" w:eastAsia="Times New Roman" w:hAnsi="Times New Roman"/>
          <w:sz w:val="18"/>
          <w:szCs w:val="18"/>
          <w:color w:val="auto"/>
        </w:rPr>
        <w:t>” as well as our financial statements and related notes included elsewhere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this information statement. For factors that could cause actual results to differ materially from those presented in the summary historical and unaudited pro forma combined financial information, see “</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elsewhere in this information statement.</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0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0" w:type="dxa"/>
            <w:vAlign w:val="bottom"/>
            <w:gridSpan w:val="3"/>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40" w:type="dxa"/>
            <w:vAlign w:val="bottom"/>
            <w:gridSpan w:val="2"/>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00" w:type="dxa"/>
            <w:vAlign w:val="bottom"/>
          </w:tcPr>
          <w:p>
            <w:pPr>
              <w:spacing w:after="0"/>
              <w:rPr>
                <w:sz w:val="15"/>
                <w:szCs w:val="15"/>
                <w:color w:val="auto"/>
              </w:rPr>
            </w:pPr>
          </w:p>
        </w:tc>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900" w:type="dxa"/>
            <w:vAlign w:val="bottom"/>
          </w:tcPr>
          <w:p>
            <w:pPr>
              <w:spacing w:after="0"/>
              <w:rPr>
                <w:sz w:val="15"/>
                <w:szCs w:val="15"/>
                <w:color w:val="auto"/>
              </w:rPr>
            </w:pPr>
          </w:p>
        </w:tc>
        <w:tc>
          <w:tcPr>
            <w:tcW w:w="12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446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center"/>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2"/>
                <w:szCs w:val="12"/>
                <w:color w:val="auto"/>
              </w:rPr>
            </w:pPr>
          </w:p>
        </w:tc>
        <w:tc>
          <w:tcPr>
            <w:tcW w:w="70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180" w:type="dxa"/>
            <w:vAlign w:val="bottom"/>
            <w:tcBorders>
              <w:top w:val="single" w:sz="8" w:color="auto"/>
            </w:tcBorders>
            <w:gridSpan w:val="2"/>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46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Combined Statements of Operations Data:</w:t>
            </w:r>
          </w:p>
        </w:tc>
        <w:tc>
          <w:tcPr>
            <w:tcW w:w="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$ 152,345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90,255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80" w:type="dxa"/>
            <w:vAlign w:val="bottom"/>
            <w:gridSpan w:val="3"/>
          </w:tcPr>
          <w:p>
            <w:pPr>
              <w:jc w:val="right"/>
              <w:ind w:right="421"/>
              <w:spacing w:after="0"/>
              <w:rPr>
                <w:sz w:val="20"/>
                <w:szCs w:val="20"/>
                <w:color w:val="auto"/>
              </w:rPr>
            </w:pPr>
            <w:r>
              <w:rPr>
                <w:rFonts w:ascii="Times New Roman" w:cs="Times New Roman" w:eastAsia="Times New Roman" w:hAnsi="Times New Roman"/>
                <w:sz w:val="18"/>
                <w:szCs w:val="18"/>
                <w:color w:val="auto"/>
              </w:rPr>
              <w:t>28,756</w:t>
            </w: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20,867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7,339</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44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181,101</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118,461</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4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Loss from operations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(181,101)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(118,461)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17,382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12,313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tcPr>
          <w:p>
            <w:pPr>
              <w:spacing w:after="0"/>
              <w:rPr>
                <w:sz w:val="18"/>
                <w:szCs w:val="18"/>
                <w:color w:val="auto"/>
              </w:rPr>
            </w:pPr>
          </w:p>
        </w:tc>
        <w:tc>
          <w:tcPr>
            <w:tcW w:w="44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17,396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12,311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44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(163,705</w:t>
            </w:r>
          </w:p>
        </w:tc>
        <w:tc>
          <w:tcPr>
            <w:tcW w:w="50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(106,150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4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Unrealized gain on available for sale securities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4,449</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44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Comprehensive loss</w:t>
            </w:r>
          </w:p>
        </w:tc>
        <w:tc>
          <w:tcPr>
            <w:tcW w:w="9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center"/>
              <w:ind w:right="59"/>
              <w:spacing w:after="0"/>
              <w:rPr>
                <w:sz w:val="20"/>
                <w:szCs w:val="20"/>
                <w:color w:val="auto"/>
              </w:rPr>
            </w:pPr>
            <w:r>
              <w:rPr>
                <w:rFonts w:ascii="Times New Roman" w:cs="Times New Roman" w:eastAsia="Times New Roman" w:hAnsi="Times New Roman"/>
                <w:sz w:val="18"/>
                <w:szCs w:val="18"/>
                <w:color w:val="auto"/>
              </w:rPr>
              <w:t xml:space="preserve">       </w:t>
            </w:r>
          </w:p>
        </w:tc>
        <w:tc>
          <w:tcPr>
            <w:tcW w:w="440" w:type="dxa"/>
            <w:vAlign w:val="bottom"/>
          </w:tcPr>
          <w:p>
            <w:pPr>
              <w:spacing w:after="0"/>
              <w:rPr>
                <w:sz w:val="19"/>
                <w:szCs w:val="19"/>
                <w:color w:val="auto"/>
              </w:rPr>
            </w:pPr>
          </w:p>
        </w:tc>
        <w:tc>
          <w:tcPr>
            <w:tcW w:w="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4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(162,603</w:t>
            </w:r>
          </w:p>
        </w:tc>
        <w:tc>
          <w:tcPr>
            <w:tcW w:w="50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(101,701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0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6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4" w:lineRule="exact"/>
        <w:rPr>
          <w:sz w:val="20"/>
          <w:szCs w:val="20"/>
          <w:color w:val="auto"/>
        </w:rPr>
      </w:pPr>
    </w:p>
    <w:tbl>
      <w:tblPr>
        <w:tblLayout w:type="fixed"/>
        <w:tblInd w:w="130" w:type="dxa"/>
        <w:tblCellMar>
          <w:top w:w="0" w:type="dxa"/>
          <w:left w:w="0" w:type="dxa"/>
          <w:bottom w:w="0" w:type="dxa"/>
          <w:right w:w="0" w:type="dxa"/>
        </w:tblCellMar>
      </w:tblPr>
      <w:tr>
        <w:trPr>
          <w:trHeight w:val="327"/>
        </w:trPr>
        <w:tc>
          <w:tcPr>
            <w:tcW w:w="1040" w:type="dxa"/>
            <w:vAlign w:val="bottom"/>
            <w:tcBorders>
              <w:top w:val="single" w:sz="8" w:color="auto"/>
              <w:left w:val="single" w:sz="8" w:color="auto"/>
            </w:tcBorders>
          </w:tcPr>
          <w:p>
            <w:pPr>
              <w:spacing w:after="0"/>
              <w:rPr>
                <w:sz w:val="24"/>
                <w:szCs w:val="24"/>
                <w:color w:val="auto"/>
              </w:rPr>
            </w:pPr>
          </w:p>
        </w:tc>
        <w:tc>
          <w:tcPr>
            <w:tcW w:w="386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480" w:type="dxa"/>
            <w:vAlign w:val="bottom"/>
            <w:tcBorders>
              <w:top w:val="single" w:sz="8" w:color="auto"/>
            </w:tcBorders>
          </w:tcPr>
          <w:p>
            <w:pPr>
              <w:spacing w:after="0"/>
              <w:rPr>
                <w:sz w:val="24"/>
                <w:szCs w:val="24"/>
                <w:color w:val="auto"/>
              </w:rPr>
            </w:pPr>
          </w:p>
        </w:tc>
        <w:tc>
          <w:tcPr>
            <w:tcW w:w="3040" w:type="dxa"/>
            <w:vAlign w:val="bottom"/>
            <w:tcBorders>
              <w:top w:val="single" w:sz="8" w:color="auto"/>
              <w:right w:val="single" w:sz="8" w:color="auto"/>
            </w:tcBorders>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04"/>
        </w:trPr>
        <w:tc>
          <w:tcPr>
            <w:tcW w:w="1040" w:type="dxa"/>
            <w:vAlign w:val="bottom"/>
            <w:tcBorders>
              <w:left w:val="single" w:sz="8" w:color="auto"/>
            </w:tcBorders>
          </w:tcPr>
          <w:p>
            <w:pPr>
              <w:spacing w:after="0"/>
              <w:rPr>
                <w:sz w:val="9"/>
                <w:szCs w:val="9"/>
                <w:color w:val="auto"/>
              </w:rPr>
            </w:pPr>
          </w:p>
        </w:tc>
        <w:tc>
          <w:tcPr>
            <w:tcW w:w="38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760" w:type="dxa"/>
            <w:vAlign w:val="bottom"/>
            <w:tcBorders>
              <w:top w:val="single" w:sz="8" w:color="auto"/>
            </w:tcBorders>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680" w:type="dxa"/>
            <w:vAlign w:val="bottom"/>
            <w:tcBorders>
              <w:top w:val="single" w:sz="8" w:color="auto"/>
            </w:tcBorders>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4900" w:type="dxa"/>
            <w:vAlign w:val="bottom"/>
            <w:tcBorders>
              <w:left w:val="single" w:sz="8" w:color="auto"/>
            </w:tcBorders>
            <w:gridSpan w:val="2"/>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840" w:type="dxa"/>
            <w:vAlign w:val="bottom"/>
          </w:tcPr>
          <w:p>
            <w:pPr>
              <w:spacing w:after="0"/>
              <w:rPr>
                <w:sz w:val="15"/>
                <w:szCs w:val="15"/>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4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3"/>
            <w:vMerge w:val="continue"/>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00" w:type="dxa"/>
            <w:vAlign w:val="bottom"/>
            <w:tcBorders>
              <w:left w:val="single" w:sz="8" w:color="auto"/>
            </w:tcBorders>
            <w:gridSpan w:val="2"/>
            <w:vMerge w:val="continue"/>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ind w:right="5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80" w:type="dxa"/>
            <w:vAlign w:val="bottom"/>
          </w:tcPr>
          <w:p>
            <w:pPr>
              <w:spacing w:after="0"/>
              <w:rPr>
                <w:sz w:val="12"/>
                <w:szCs w:val="12"/>
                <w:color w:val="auto"/>
              </w:rPr>
            </w:pPr>
          </w:p>
        </w:tc>
        <w:tc>
          <w:tcPr>
            <w:tcW w:w="600" w:type="dxa"/>
            <w:vAlign w:val="bottom"/>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tcBorders>
          </w:tcPr>
          <w:p>
            <w:pPr>
              <w:spacing w:after="0"/>
              <w:rPr>
                <w:sz w:val="17"/>
                <w:szCs w:val="17"/>
                <w:color w:val="auto"/>
              </w:rPr>
            </w:pPr>
          </w:p>
        </w:tc>
        <w:tc>
          <w:tcPr>
            <w:tcW w:w="3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Combined Balance Sheet Data</w:t>
            </w:r>
          </w:p>
        </w:tc>
        <w:tc>
          <w:tcPr>
            <w:tcW w:w="18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right w:val="single" w:sz="8" w:color="CCEEFF"/>
            </w:tcBorders>
            <w:shd w:val="clear" w:color="auto" w:fill="CCEEFF"/>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123,080</w:t>
            </w: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262,293</w:t>
            </w: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tcBorders>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389,933</w:t>
            </w: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14,383</w:t>
            </w: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35,470</w:t>
            </w: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tcBorders>
          </w:tcPr>
          <w:p>
            <w:pPr>
              <w:spacing w:after="0"/>
              <w:rPr>
                <w:sz w:val="19"/>
                <w:szCs w:val="19"/>
                <w:color w:val="auto"/>
              </w:rPr>
            </w:pPr>
          </w:p>
        </w:tc>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8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441,891</w:t>
            </w:r>
          </w:p>
        </w:tc>
        <w:tc>
          <w:tcPr>
            <w:tcW w:w="1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Borders>
              <w:left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Borders>
              <w:left w:val="single" w:sz="8" w:color="auto"/>
            </w:tcBorders>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98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30,473</w:t>
            </w: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tcBorders>
          </w:tcPr>
          <w:p>
            <w:pPr>
              <w:spacing w:after="0"/>
              <w:rPr>
                <w:sz w:val="19"/>
                <w:szCs w:val="19"/>
                <w:color w:val="auto"/>
              </w:rPr>
            </w:pPr>
          </w:p>
        </w:tc>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36,183</w:t>
            </w:r>
          </w:p>
        </w:tc>
        <w:tc>
          <w:tcPr>
            <w:tcW w:w="1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14,112</w:t>
            </w: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Parent Investment</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391,291</w:t>
            </w: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tcBorders>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1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1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391,596</w:t>
            </w: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tcBorders>
          </w:tcPr>
          <w:p>
            <w:pPr>
              <w:spacing w:after="0"/>
              <w:rPr>
                <w:sz w:val="19"/>
                <w:szCs w:val="19"/>
                <w:color w:val="auto"/>
              </w:rPr>
            </w:pPr>
          </w:p>
        </w:tc>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8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8"/>
                <w:szCs w:val="18"/>
                <w:color w:val="auto"/>
              </w:rPr>
              <w:t xml:space="preserve">       </w:t>
            </w:r>
          </w:p>
        </w:tc>
        <w:tc>
          <w:tcPr>
            <w:tcW w:w="480" w:type="dxa"/>
            <w:vAlign w:val="bottom"/>
          </w:tcPr>
          <w:p>
            <w:pPr>
              <w:spacing w:after="0"/>
              <w:rPr>
                <w:sz w:val="19"/>
                <w:szCs w:val="19"/>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441,891</w:t>
            </w:r>
          </w:p>
        </w:tc>
        <w:tc>
          <w:tcPr>
            <w:tcW w:w="1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Borders>
              <w:left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40" w:type="dxa"/>
            <w:vAlign w:val="bottom"/>
            <w:tcBorders>
              <w:left w:val="single" w:sz="8" w:color="auto"/>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10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as well as the other information in this information statement, including our combined financial statements and the related notes and “Management’s Discussion and Analysis of Financial Condition and Results of Operations.” The occurrence of any of the events or developments described below could harm our business, financial condition, results of operations, and growth prospects. Additional risks and uncertainties not currently known to us or that we currently believe are immaterial also may impair our business, including our results of operations, liquidity and financial condition.</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Risks Related to Discovery and Development of Our Product Candidates</w:t>
      </w:r>
    </w:p>
    <w:p>
      <w:pPr>
        <w:spacing w:after="0" w:line="117"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Our product candidates in development may fail or suffer delays that adversely affect their commercial viability. Results from our initial clinical trials may not be representative of the results we will experience in later clinical trials. If we or any future collaborators are unable to complete development of or commercialize our product candidates or experience significant delays in doing so, our business will be materially harmed.</w:t>
      </w:r>
    </w:p>
    <w:p>
      <w:pPr>
        <w:spacing w:after="0" w:line="7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are developing therapeutic antibodies, including our wholly owned product candidates. However, all of our wholly owned product candidates are in various stages of development, and, for a wide variety of reasons discussed below, may fail in development or suffer delays that adversely affect their commercial viability.</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w:t>
      </w:r>
    </w:p>
    <w:p>
      <w:pPr>
        <w:spacing w:after="0" w:line="17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Furthermore, we may conduct clinical trials of a product candidate in multiple indications based on assumptions about the product candidate’s mechanism of action. However, it is possible that our assumptions regarding the effectiveness of a product candidate’s mechanism of action may be incorrect and that the product candidate may be ineffective in certain diseases or disorders. If this were the case, then the results from any clinical trials of a product candidate that we conduct are less likely to be positive. For example, even though we showed positive data for rosnilimab in our Phase 2b clinical trial in rheumatoid arthritis, data from rosnilimab’s Phase 2 clinical trial in ulcerative colitis was not positive.</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our other ongoing or future clinical trials of any of our product candidates, including, rosnilimab, ANB033 or ANB101, are unsuccessful, whether for one of the reasons mentioned above or otherwise, our product candidates may be delayed in development or fail entirely, which would have a material adverse impact on our business.</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success of our current product candidates, and any other product candidates we may develop in the future, will depend on many factors, including the following:</w:t>
      </w:r>
    </w:p>
    <w:p>
      <w:pPr>
        <w:spacing w:after="0" w:line="67"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permission to initiate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of patients in, and the completion of, our planned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marketing approvals from applicable regulatory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and/or making arrangements with third-party manufacturers;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non-patent exclusivity for our product candidates and their components;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desirable therapeutic properties for our product candidates’ intended indications;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approved, by patients, the medical community and third-party payors;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our product candidates through clinical trials and following regulatory approval.</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62"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FDA or foreign regulatory authorities.</w:t>
      </w:r>
    </w:p>
    <w:p>
      <w:pPr>
        <w:spacing w:after="0" w:line="185"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Our ongoing and planned clinical trials or those of any future collaborators may reveal significant adverse events, toxicities or other side effects and may result in a safety profile that could inhibit regulatory approval or market acceptance of any of our product candidates.</w:t>
      </w:r>
    </w:p>
    <w:p>
      <w:pPr>
        <w:spacing w:after="0" w:line="15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pacing w:after="0" w:line="18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Some patients in our clinical trials have experienced adverse events, including SAEs. Subjects in our ongoing and planned clinical trials may in the future suffer significant adverse events or other side effects not observed in our preclinical studies or in our Phase 1, Phase 2 or Phase 3 clinical trials. The observed potency and kinetics of our product candidates in preclinical studies may not be observed in human clinical trials. We have tested the dosing frequency and route of administration of our product candidates in preclinical studies, which</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safety and efficacy to the satisfaction of regulatory authorities or do not otherwise produce positive results, we or any future collaborators may incur additional costs or experience delays in completing, or ultimately be unable to complete, the development and commercialization of our product candidates.</w:t>
      </w:r>
    </w:p>
    <w:p>
      <w:pPr>
        <w:spacing w:after="0" w:line="189"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ethics committee,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a product candidate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7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testing.</w:t>
      </w:r>
    </w:p>
    <w:p>
      <w:pPr>
        <w:spacing w:after="0" w:line="176"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We and/or any future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17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ability to continue to develop our product candidates, and to have the potential to achieve and sustain profitability, depends on the FDA and foreign regulatory authorities permitting us to conduct human clinical trials and, if our product candidates are safe and effective, obtaining approval from the FDA and foreign regulatory authorities to market them and subsequently successfully commercializing them, either alone or with any future collaborators. The research, testing, manufacturing, labeling, approval, selling, marketing and distribution of drug and biologic products are subject to extensive regulation by the FDA and foreign regulatory authorities. Before commencing clinical trials in the United States for any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192"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Even if we or any future collaborators initiate and complete clinical trials for our product candidates, these product candidates will not be permitted to be marketed in the United States until approval of a BLA from the FDA is received, and will not be permitted to be marketed in other countries without marketing approval from foreign regulatory authorities. Obtaining approval of a BLA or other marketing approvals is often a lengthy,</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expensive and uncertain process over which the FDA and foreign regulatory authorities have substantial discretion. Other than submitting and receiving acceptance for initiation of our previous and current clinical trials in the United States and certain foreign jurisdictions, we have had only limited discussions with the FDA and no discussions with foreign regulatory authorities regarding the development plans for any of our product candidates or the designs of any of our later-stage clinical studies. We thus may not have the full benefit of the FDA’s or foreign regulatory authorities’ current thinking on clinical trial designs or product development for our target indications.</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Preclinical studies and clinical trials are expensive, difficult to design and implement, can take many years to complete, and are uncertain as to outcome. Product candidates, on average, take 10 to 15 years to be developed from the time they are discovered to the time they are approved and available for treating patients. The start or end of a clinical trial is often delayed or halted for many reasons, including:</w:t>
      </w:r>
    </w:p>
    <w:p>
      <w:pPr>
        <w:spacing w:after="0" w:line="81" w:lineRule="exact"/>
        <w:rPr>
          <w:sz w:val="20"/>
          <w:szCs w:val="20"/>
          <w:color w:val="auto"/>
        </w:rPr>
      </w:pPr>
    </w:p>
    <w:p>
      <w:pPr>
        <w:ind w:left="1080" w:right="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for safety reasons or following an inspection of clinical trial operations or site by the FDA or other regulatory authorities;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challenges;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or quality of product candidates or other materials necessary to conduct clinical trials;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clinical trial contracts or clinical trial protocols with prospective trial sites and CROs or failure by such CROs or trials sites to carry out the clinical trial in accordance with our agreed-upon terms;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or clinical sites becoming unavailable due to political, economic, or public health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electing to terminate their participation in one of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patients or medical investigators to follow clinical trial protocols;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clinical trial administrative 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patient enrollment;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standards of care;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concerns;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or prevalence of use of a comparative drug or required prior therapy;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outcomes or financial constraints.</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or any future collaborators experience any of the issues described above, or other similar or related issues, we or any future collaborators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w:t>
      </w:r>
    </w:p>
    <w:p>
      <w:pPr>
        <w:spacing w:after="0" w:line="112"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60"/>
          </w:cols>
          <w:pgMar w:left="320" w:top="455" w:right="5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including boxed warnings;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Further, in June 2024, the U.S. Supreme Court reversed its longstanding approach under the Chevron doctrine, which provided for judicial deference to regulatory agencies, including the FDA. As a result of this decision, we cannot be sure whether there will be increased challenges to existing agency regulations or how lower courts will apply the decision in the context of other regulatory schemes without more specific guidance from the U.S. Supreme Court. For example, this decision may result in more companies bringing lawsuits against the FDA to challenge longstanding decisions and policies of the FDA, which could undermine the FDA’s authority, lead to uncertainties in the industry, and disrupt the FDA’s normal operations, which could impact the timely review of any regulatory filings or applications we submit to the FDA.</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Even if our product candidates receive regulatory approval, they will be subject to significant post-marketing regulatory requirements.</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Any regulatory approvals that we or any future collaborators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 regulations and good clinical practices for any clinical trials that we conduct post-approval. In addition, manufacturers of drug products and their facilities are subject to continual review and periodic inspections by the FDA and other regulatory authorities for compliance with cGMP regulations and standards. If we, any future collaborators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or any future collaborators, including requiring recall or withdrawal of the product from the market or suspension of manufacturing. In addition, failure to comply with FDA and foreign regulatory requirements may, either before or after product approval, if any, subject our company or any future collaborators to administrative or judicially imposed sanctions, including:</w:t>
      </w:r>
    </w:p>
    <w:p>
      <w:pPr>
        <w:spacing w:after="0" w:line="100"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products, manufacturers or manufacturing process;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detentions or import bans;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operations, including costly new manufacturing requirements;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BLAs or supplements to approved BLAs.</w:t>
      </w:r>
    </w:p>
    <w:p>
      <w:pPr>
        <w:spacing w:after="0" w:line="225"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alone or with any future collaborators, to commercialize our product candidates and generate revenue.</w:t>
      </w:r>
    </w:p>
    <w:p>
      <w:pPr>
        <w:spacing w:after="0" w:line="162" w:lineRule="exact"/>
        <w:rPr>
          <w:sz w:val="20"/>
          <w:szCs w:val="20"/>
          <w:color w:val="auto"/>
        </w:rPr>
      </w:pPr>
    </w:p>
    <w:p>
      <w:pPr>
        <w:jc w:val="both"/>
        <w:ind w:left="120" w:right="100" w:firstLine="440"/>
        <w:spacing w:after="0" w:line="257"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DOJ, the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w:t>
      </w:r>
    </w:p>
    <w:p>
      <w:pPr>
        <w:spacing w:after="0" w:line="1"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Additionally, comparable foreign regulatory authorities will heavily scrutinize advertising and promotion of any product candidate that obtains approval outside of the United States.</w:t>
      </w:r>
    </w:p>
    <w:p>
      <w:pPr>
        <w:spacing w:after="0" w:line="18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Such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In addition, we may incur liability from claims initiated under the Lanham Act or other federal and state unfair competition laws with respect to how our products are marketed and promoted. Furthermore, the off-label use of our products may increase the risk of product liability claims.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We may not be successful in our efforts to expand our pipeline of product candidates and develop marketable products.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our business depends on our successful development and commercialization of the limited number of internal product candidates we have in preclinical and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successfully develop, partner and/or commercialize product candidates, we may not be able to obtain product or partnership revenue in future periods, which would adversely affect our business, prospects, financial condition and results of operations.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88" w:lineRule="exact"/>
        <w:rPr>
          <w:sz w:val="20"/>
          <w:szCs w:val="20"/>
          <w:color w:val="auto"/>
        </w:rPr>
      </w:pPr>
    </w:p>
    <w:p>
      <w:pPr>
        <w:ind w:left="120" w:right="7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We are assessing advancement to Phase 3 of clinical development of rosnilimab for RA, and have no history of commercializing biotechnology products, which may make it difficult to evaluate the prospects for our future viability.</w:t>
      </w:r>
    </w:p>
    <w:p>
      <w:pPr>
        <w:spacing w:after="0" w:line="159"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Our operations to date have been largely limited to financing and staffing our company, and developing our wholly owned product candidates. We have only very limited experience conducting pivotal Phase 3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 owned product candidates will require significant additional financial and management resources, and reliance on third-party clinical investigators, CROs, consultants or collaborators. Relying on third-party clinical investigators, third-party manufacturing, CROs or collaborators may result in delays that are outside of our control.</w:t>
      </w:r>
    </w:p>
    <w:p>
      <w:pPr>
        <w:spacing w:after="0" w:line="17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81" w:lineRule="exact"/>
        <w:rPr>
          <w:sz w:val="20"/>
          <w:szCs w:val="20"/>
          <w:color w:val="auto"/>
        </w:rPr>
      </w:pPr>
    </w:p>
    <w:p>
      <w:pPr>
        <w:ind w:left="1080" w:right="2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suspension or termination of a clinical trial once commenced;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foreign regulatory authorities regarding the number, scope or design of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research subjects in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research subjects;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clinical trial materials or other supplies necessary for the conduct of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of our product candidates during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a clinical trial site;</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otherwise meet their contractual obligations in a timely manner, or at all;</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or otherwise unacceptable, drug-related side effects experienced by participants in our planned clinical trials or by individuals using drugs similar to our product candidates;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080" w:right="2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foreign regulatory authorities.</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Consequently, any predictions you make about our future success or viability based on our operating history may not be as accurate as they could be if we had an established track record in conducting clinical trials or commercializing products.</w:t>
      </w:r>
    </w:p>
    <w:p>
      <w:pPr>
        <w:spacing w:after="0" w:line="162"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Further, as a clinical stage business, we may encounter unforeseen expenses, difficulties, complications, delays, and other known and unknown factors. We will need to transition from a company with a research and development focus to a company capable of supporting commercial activities. We may not be successful in such a transition.</w:t>
      </w:r>
    </w:p>
    <w:p>
      <w:pPr>
        <w:spacing w:after="0" w:line="172"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15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of.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19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For rosnilimab, our competitors include non-depleting PD-1 agonist antibodies, GS-0151 (Gilead) in Phase 1b development for the treatment of rheumatoid arthritis, and S-4321 (Seismic Therapeutics) in Phase 1 development. Our commercial-stage competitors in moderate-to-severe rheumatoid arthritis include monoclonal antibodies targeting anti-TNF (Humira; Abbvie), IL-6 (Actemra; Roche and Kevzara; Regeneron), CD-80/86 (Orencia; BMS), CD-20 (Rituxan; Roche), and janus kinase inhibitors (Rinvoq; AbbVie, Olumiant; Eli Lilly, and Xeljanz; Pfizer).</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For our anti-CD122 antagonist antibody program, our clinical competitors include an anti-CD122 antagonist antibody, FB-102 (Forte Bioscience) in Phase 2a development for the treatment of CeD, Phase 1b development for the treatment of vitiligo, and Phase 1b development for the treatment of alopecia areata, and two anti-IL-15 monoclonal antibodies, GIA632 (Novartis) in Phase 2a development for atopic dermatitis and with proof-of-concept, Phase 1b data for the treatment of CeD and EoE, and TEV-53408 (Teva), in Phase 2 development for the treatment of CeD and vitiligo. To date, there are no FDA-approved therapies for the treatment of celiac disease and only one FDA-approved biologic, Dupixent, for the treatment of EoE.</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For our anti-BDCA2 program, our competitors include another anti-BDCA2 antibody, litifilimab (Biogen) in Phase 3 development for SLE and CLE, and a bispecific fusion protein targeting BDCA2 and BAFF/APRIL,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DNTH212 (Dianthus Therapeutics) in Phase 1 development, and an anti-ILT7 antibody, daxdilimab (Amgen) in Phase 2 development.</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biosimilar products. Even if our product candidates achieve marketing approval, they may be priced at a significant premium over competitive biosimilar products if any have been approved by then.</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Smaller and other early-stage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and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183"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Our product candidates may not achieve adequate market acceptance among physicians, patients, health care payors and others in the medical community necessary for commercial success.</w:t>
      </w:r>
    </w:p>
    <w:p>
      <w:pPr>
        <w:spacing w:after="0" w:line="15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spacing w:after="0" w:line="8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as demonstrated in planned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our products, if approved, such as boxed warnings or contraindications in labeling or REMS, if any, which may not be required of alternative treatments and competitor products;</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physicians, clinics and patients; the potential and perceived advantages of product candidates over alternative treatments, including any similar generic treatments;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and pricing by third parties and government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 candidate.</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175"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management team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183"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175"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process of manufacturing biologics is complex, highly regulated and subject to multiple risks, and requires significant expertise and capital investment, including the development of advanced manufacturing techniques and process controls.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or supply chain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We rely, and expect to continue to rely, on third parties, including manufacturers based in China, for the manufacture of our product candidates and future product candidates. We and our contract manufacturers must comply with cGMP for the manufacturing of biologics used in clinical trials and, if approved, marketed products. Moreover, if the FDA determines that our manufacturer is not in compliance with FDA laws and regulations, including cGMP, the FDA may deny BLA approval until the deficiencies are corrected or we replace the manufacturer in our BLA with a manufacturer that is in compliance.</w:t>
      </w:r>
    </w:p>
    <w:p>
      <w:pPr>
        <w:spacing w:after="0" w:line="19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Furthermore, all of our therapeutic antibodies are manufactured by starting with cells which are stored in a cell bank. We have one master cell bank for each antibody manufactured in accordance with cGMP and create working cell banks to support cGMP manufacturing,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Scaling up a biologic manufacturing process is a difficult and uncertain task, and we may not be successful in transferring our production system or the manufacturer may not have the necessary capabilities to complete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implementation and development process. If we are unable to adequately validate or scale-up the manufacturing process with our current manufacturers, we will need to transfer to other manufacturers and complete the manufacturing validation process, which can be lengthy and costly. Even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 Accordingly, failures or difficulties faced at any level of our manufacturing process could adversely affect our business and delay or impede the development and commercialization of our product candidates or products and could have an adverse effect on our business, prospects, financial condition and results of operations.</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any future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outside the United States. Although we have not experienced any material supply interruptions to date, it is possible that political, economic or public health events could cause such interruptions in the future. Further, legislation has been introduced in Congress to limit certain U.S. biotechnology companies from using equipment or services produced or provided by select Chinese biotechnology companies, although such legislation has not yet advanced. We cannot predict what actions may ultimately be taken with respect to trade relations between the United States and China or other countries, what products and services may be subject to such actions or what actions may be taken by the other countries in retaliation.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product candidates. Such events could result in our clinical or commercial supply of drug, packaging and other services being interrupted or limited, which could harm our business. If our manufacturers are unable to produce sufficient quantities for clinical trials or for commercialization, commercialization efforts would be impaired, which would have an adverse effect on our business, financial condition, results of operations and growth prospects.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w:t>
      </w:r>
    </w:p>
    <w:p>
      <w:pPr>
        <w:spacing w:after="0" w:line="185"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Some of our suppliers may experience disruption to their respective supply chain due to the effects of macroeconomic conditions, which could delay, prevent or impair our development or commercialization efforts.</w:t>
      </w:r>
    </w:p>
    <w:p>
      <w:pPr>
        <w:spacing w:after="0" w:line="15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obtain certain drug intermediates of our drug candidate supply from countries affected by macroeconomic events and conditions, including inflation, interest rate fluctuations, uncertainty with respect to the federal budget and debt ceiling and existing or potential government shutdowns related thereto, increasing financial market volatility and uncertainty, the impact of war or military conflict, including regional conflicts around the world, and public health pandemics. Supply chain disruptions and delays as a result of any new tariff policies or trade restrictions could also negatively impact our cost of materials, production processes, and ability to conduct clinical trials. If we are unable to obtain certain drug intermediates of our drug candidate supply in sufficient quantity and in a timely manner due to disruptions in the global supply chain caused by macroeconomic events and conditions, the development, testing and clinical trials of that drug candidate may be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delayed or infeasible, and regulatory approval or commercial launch of any resulting product may be delayed or not obtained, which could significantly harm our business.</w:t>
      </w:r>
    </w:p>
    <w:p>
      <w:pPr>
        <w:spacing w:after="0" w:line="158"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macroeconomic and geopolitical environment may have a material impact on the U.S. and global economies and could materially impact our business, financial condition and results of operations.</w:t>
      </w:r>
    </w:p>
    <w:p>
      <w:pPr>
        <w:spacing w:after="0" w:line="15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macroeconomic and geopolitical environment, including inflation, increased volatility in interest rates, tariffs and the debt and equity markets, instability in the global banking system, global health crises and pandemics and geopolitical conflict have had, and may continue to have, an adverse impact on global economic conditions, which could have an adverse effect on our business and financial condition, including impairing our ability to raise capital on favorable terms. The extent to which any such factors impact our business and operations will depend on future developments that are highly uncertain and cannot be predicted, including new information that may emerge concerning the severity of the event and the actions to contain its impact.</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subject to risks associated with foreign trade policy, including recent tariffs imposed or proposed by the United States on its trading partners, as well as retaliatory actions that have or may be imposed by other countries in response. The recent U.S. tariffs and other trade restrictions against trading partners and specific sectors of the global economy may have an adverse effect on our business and financial condition. The United States has imposed many country-specific tariffs at a rate higher than the 10% global baseline on all foreign countries and continues to impose increased tariffs on China in particular. At this time, the impact of the recently imposed and proposed tariff actions with respect to our operations remains uncertain given ongoing bilateral negotiations between the United States and trading partners, changes in U.S. policy, and an ongoing Section 232 investigation by the U.S. Department of Commerce, which may result in the imposition of an additional tariff rate on U.S. imports of pharmaceuticals and pharmaceutical ingredients. Our products involve pharmaceutical ingredients that are partially sourced from outside of the United States, including China, the cost of which may increase due to additional tariff rates. Higher material costs may negatively impact our gross margins and operating results and our ability to be competitive in the global market.</w:t>
      </w:r>
    </w:p>
    <w:p>
      <w:pPr>
        <w:spacing w:after="0" w:line="194"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Changes in government trade policies, including changes to tariffs and other non-tariff barriers, may have a material impact on our results of operations.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17"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We have no operating revenue and a history of operational losses and may not achieve or sustain profitability. We have no products approved for commercial sale, and to date we have not generated any revenue or profit from sales of our product candidates.</w:t>
      </w:r>
    </w:p>
    <w:p>
      <w:pPr>
        <w:spacing w:after="0" w:line="15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We are a clinical-stage biotechnology company with a limited operating history. We have no approved products. Our ability to generate revenue and become profitable depends upon our ability, alone or with any future collaborators, to successfully complete the development of our product candidates for our target indications and to obtain necessary regulatory approvals. Further, following the Spin-Off, we will no longer generate revenue from the potential royalty revenue streams held by AnaptysBio, Inc. (i.e. the rights to the dostarlimab royalties from the GSK Collaboration and imsidolimab royalties from the Vanda Collaboration).</w:t>
      </w:r>
    </w:p>
    <w:p>
      <w:pPr>
        <w:spacing w:after="0" w:line="183"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have incurred, and expect to continue to incur, operating losses. We had a net loss of $163.7 million and $106.2 million for the years ended December 31, 2024 and 2023, respectively.</w:t>
      </w:r>
    </w:p>
    <w:p>
      <w:pPr>
        <w:spacing w:after="0" w:line="162"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have devoted substantially all of our efforts to research and development. Across our development portfolio, we expect to continue to incur significant expenses and increasing operating losses for the foreseeable future, and the net losses we incur may fluctuate significantly from quarter to quarter. Our ability to generate future product revenue from our current or future product candidates depends on a number of additional factors, including our ability (or as applicable any future collaborators’ ability) to:</w:t>
      </w:r>
    </w:p>
    <w:p>
      <w:pPr>
        <w:spacing w:after="0" w:line="85" w:lineRule="exact"/>
        <w:rPr>
          <w:sz w:val="20"/>
          <w:szCs w:val="20"/>
          <w:color w:val="auto"/>
        </w:rPr>
      </w:pPr>
    </w:p>
    <w:p>
      <w:pPr>
        <w:ind w:left="5540" w:right="4760" w:hanging="4884"/>
        <w:spacing w:after="0" w:line="367" w:lineRule="auto"/>
        <w:tabs>
          <w:tab w:leader="none" w:pos="1094"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research and preclinical development of our product candidates; 26</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additional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new collaboration agreements;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preclinical studies and initiate clinical trials for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approvals for the product candidates that we develop or are developed under future collaboration arrangements;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candidates for which we may obtain marketing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executive, clinical, quality control and scientific personnel;</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commercialization efforts;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supply and manufacturing relationships with third parties and ensure adequate and legally compliant manufacturing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product reimbursement from third-party payors, including government payors;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for our or any future collaborators’ products, if any.</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clinical trials in addition to those that we currently anticipate. Even if any of our product candidates are approved for commercial sale, we anticipate incurring significant costs associated with the commercial launch of any product candidate.</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are currently only in the clinical development stages for our most advanced product candidates. In order to become and remain profitable, we must, alone or with any future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the value of your shares of our common stock.</w:t>
      </w:r>
    </w:p>
    <w:p>
      <w:pPr>
        <w:spacing w:after="0" w:line="184" w:lineRule="exact"/>
        <w:rPr>
          <w:sz w:val="20"/>
          <w:szCs w:val="20"/>
          <w:color w:val="auto"/>
        </w:rPr>
      </w:pPr>
    </w:p>
    <w:p>
      <w:pPr>
        <w:jc w:val="both"/>
        <w:ind w:left="120"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159"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As a research and development company, our operations have consumed substantial amounts of cash. We expect our research and development expenses to increase in connection with our ongoing activities, which expenses may substantially increase if we conduct Phase 3 clinical trials or seek marketing approval for our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product candidates without any partnerships. In addition, if we obtain marketing approval for any of our product candidates, we expect to incur significant commercialization expenses related to product sales, marketing, manufacturing and distribution. For more information on these expenses, see “</w:t>
      </w:r>
      <w:r>
        <w:rPr>
          <w:rFonts w:ascii="Times New Roman" w:cs="Times New Roman" w:eastAsia="Times New Roman" w:hAnsi="Times New Roman"/>
          <w:sz w:val="18"/>
          <w:szCs w:val="18"/>
          <w:i w:val="1"/>
          <w:iCs w:val="1"/>
          <w:color w:val="auto"/>
        </w:rPr>
        <w:t>Management’s Discussion and Analysis of Financial Condition and Results of Operations—Funding Requirements</w:t>
      </w:r>
      <w:r>
        <w:rPr>
          <w:rFonts w:ascii="Times New Roman" w:cs="Times New Roman" w:eastAsia="Times New Roman" w:hAnsi="Times New Roman"/>
          <w:sz w:val="18"/>
          <w:szCs w:val="18"/>
          <w:color w:val="auto"/>
        </w:rPr>
        <w:t>.” Furthermore, we expect to incur additional costs associated with operating as a public company. We believe that our existing cash, cash equivalents and investments will fund our current operating plan for at least the next 12 months. However, circumstances may cause us to consume capital more rapidly than we currently anticipate. For example, as we continue to move our product candidates into and through clinical trials, we may have adverse results requiring us to find new product candidates. Any of these events may increase our development costs more than we expect. We may need to raise additional funds or otherwise obtain funding through future collaboration agreements to continue development of our product candidates.</w:t>
      </w:r>
    </w:p>
    <w:p>
      <w:pPr>
        <w:spacing w:after="0" w:line="19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In addition, we cannot guarantee that future financing will be available in sufficient amounts or on terms acceptable to us, if at all. If we do not raise additional capital when required or on acceptable terms, we may need to:</w:t>
      </w:r>
    </w:p>
    <w:p>
      <w:pPr>
        <w:spacing w:after="0" w:line="67" w:lineRule="exact"/>
        <w:rPr>
          <w:sz w:val="20"/>
          <w:szCs w:val="20"/>
          <w:color w:val="auto"/>
        </w:rPr>
      </w:pPr>
    </w:p>
    <w:p>
      <w:pPr>
        <w:ind w:left="1080" w:right="70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delay, scale back or discontinue the development or commercialization of our product candidates or cease operations altogether;</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strategic alliances for research and development programs at an earlier stage than we would otherwise desire or on terms less favorable than might otherwise be available;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 or license on unfavorable terms, our rights to technologies or future product candidates that we otherwise would seek to develop or commercialize ourselves;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staff to conserve resources.</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we need to conduct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Adverse macroeconomic conditions, including volatility in equity capital markets, fluctuating interest rates, tariffs, actual or perceived instability in the U.S. and global banking systems, and fluctuations in foreign exchange rates, could prevent us from raising capital in sufficient amounts or on terms acceptable to us or at all.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We have based this estimate on assumptions that may prove to be wrong, and we could use our available capital resources sooner than we currently expect. Our future funding requirements, both short and long term, will depend on many factors, including:</w:t>
      </w:r>
    </w:p>
    <w:p>
      <w:pPr>
        <w:spacing w:after="0" w:line="94" w:lineRule="exact"/>
        <w:rPr>
          <w:sz w:val="20"/>
          <w:szCs w:val="20"/>
          <w:color w:val="auto"/>
        </w:rPr>
      </w:pPr>
    </w:p>
    <w:p>
      <w:pPr>
        <w:ind w:left="1080" w:right="46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and future product candidates we may develop;</w:t>
      </w:r>
    </w:p>
    <w:p>
      <w:pPr>
        <w:spacing w:after="0" w:line="67"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size of clinical trials needed to show safety, efficacy and an acceptable risk/benefit profile for any of our product candidates;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or failure of products sold by any future collaborators and the timing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new collaboration agreements;</w:t>
      </w:r>
    </w:p>
    <w:p>
      <w:pPr>
        <w:spacing w:after="0" w:line="130"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recruiting and retaining key employees;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fees associated with any delays or cancellations of forecasted manufacturing batches;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potentially validating manufacturing sites for commercial-scale manufacturing; and</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for which we may receive regulatory approval and that we determine to commercialize ourselves or in collaboration with any future collaborators.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we cannot expand our operations or otherwise capitalize on our business opportunities due to a lack of capital, our business, financial condition and results of operations could be adversely affected.</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left="120" w:right="7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We may not succeed in establishing and maintaining additional development and commercialization collaborations, which could adversely affect our ability to develop and commercialize product candidates.</w:t>
      </w:r>
    </w:p>
    <w:p>
      <w:pPr>
        <w:spacing w:after="0" w:line="15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part of our strategy is to enter into strategic product development and commercialization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collaborations or other alternative arrangements for any of our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 into new collaboration agreements related to our product candidates could delay the development and commercialization of our product candidates and reduce their competitiveness if they reach the market.</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Moreover, if we fail to establish and maintain collaborations related to our product candidates:</w:t>
      </w:r>
    </w:p>
    <w:p>
      <w:pPr>
        <w:spacing w:after="0" w:line="131"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certain of our current or future product candidates may be terminated or delayed;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expenditures related to development of certain of our current or future product candidates would increase significantly and we may need to seek additional financing;</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hire additional employees or otherwise develop expertise, such as sales and marketing expertise, for which we have not budgeted;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bear all of the risk related to the development and commercialization of any such product candidates.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If third parties on which we depend to conduct our planned preclinical studies and clinical trials do not perform as contractually required, fail to satisfy regulatory or legal requirements or miss expected deadlines, our development programs could be delayed with adverse effects on our business, financial condition, results of operations and prospects.</w:t>
      </w:r>
    </w:p>
    <w:p>
      <w:pPr>
        <w:spacing w:after="0" w:line="175"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We rely on third-party clinical investigators, CROs,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spacing w:after="0" w:line="188" w:lineRule="exact"/>
        <w:rPr>
          <w:sz w:val="20"/>
          <w:szCs w:val="20"/>
          <w:color w:val="auto"/>
        </w:rPr>
      </w:pPr>
    </w:p>
    <w:p>
      <w:pPr>
        <w:ind w:left="120" w:right="300" w:firstLine="440"/>
        <w:spacing w:after="0" w:line="256"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183" w:lineRule="exact"/>
        <w:rPr>
          <w:sz w:val="20"/>
          <w:szCs w:val="20"/>
          <w:color w:val="auto"/>
        </w:rPr>
      </w:pPr>
    </w:p>
    <w:p>
      <w:pPr>
        <w:ind w:left="120" w:right="6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We rely completely on third parties to manufacture our nonclinical, clinical and future commercial drug supplies of any approved products.</w:t>
      </w:r>
    </w:p>
    <w:p>
      <w:pPr>
        <w:spacing w:after="0" w:line="15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third-party manufacturer or otherwise, could considerably harm our business and ability to generate revenue and delay completion of our clinical trials, product testing and potential regulatory approval of our product candidates.</w:t>
      </w:r>
    </w:p>
    <w:p>
      <w:pPr>
        <w:spacing w:after="0" w:line="194" w:lineRule="exact"/>
        <w:rPr>
          <w:sz w:val="20"/>
          <w:szCs w:val="20"/>
          <w:color w:val="auto"/>
        </w:rPr>
      </w:pPr>
    </w:p>
    <w:p>
      <w:pPr>
        <w:jc w:val="both"/>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Reliance on third-party manufacturers entails additional risks, including the possible breach of the manufacturing agreement by the manufacturer and the possible termination or nonrenewal of the agreement by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176"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a small number of suppliers for the raw materials necessary to produce our product candidates. The loss of these suppliers, or their failure to supply us with these raw materials, would materially and adversely affect our business.</w:t>
      </w:r>
    </w:p>
    <w:p>
      <w:pPr>
        <w:spacing w:after="0" w:line="159" w:lineRule="exact"/>
        <w:rPr>
          <w:sz w:val="20"/>
          <w:szCs w:val="20"/>
          <w:color w:val="auto"/>
        </w:rPr>
      </w:pPr>
    </w:p>
    <w:p>
      <w:pPr>
        <w:ind w:left="120" w:right="100" w:firstLine="440"/>
        <w:spacing w:after="0" w:line="272" w:lineRule="auto"/>
        <w:rPr>
          <w:sz w:val="20"/>
          <w:szCs w:val="20"/>
          <w:color w:val="auto"/>
        </w:rPr>
      </w:pPr>
      <w:r>
        <w:rPr>
          <w:rFonts w:ascii="Times New Roman" w:cs="Times New Roman" w:eastAsia="Times New Roman" w:hAnsi="Times New Roman"/>
          <w:sz w:val="17"/>
          <w:szCs w:val="17"/>
          <w:color w:val="auto"/>
        </w:rPr>
        <w:t>We depend on the availability of key raw materials for our product candidates from a small number of third-party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 If either we or any third parties in the supply chain for materials used in the production of our product candidates are disrupted, including by political, economic or public health events, it could limit our ability to manufacture our product candidates for our preclinical or clinical studies.</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225"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failure to obtain regulatory approval in international jurisdictions would prevent us or any future collaborators from marketing our product candidates outside the United States.</w:t>
      </w:r>
    </w:p>
    <w:p>
      <w:pPr>
        <w:spacing w:after="0" w:line="15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order to market and sell our products in other jurisdictions, we or any future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or any future collaborators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18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If we or any future collaborators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The failure to obtain approval of any of our product candidates by regulatory authorities in another country may significantly diminish the commercial prospects of that product candidate and our business prospects could decline.</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Any drugs we develop may become subject to unfavorable third party reimbursement practices and pricing regulations.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to which the costs of our product candidates will be paid by health maintenance, managed care, pharmacy benefit and similar health care management organizations or reimbursed by government health administration authorities, private health coverage insurers and other third-party payors. If reimbursement is not available, or is available only to limited levels, we or any future collaborators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marketing approval is obtained. If coverage and reimbursement are not available or reimbursement is available only at limited levels, we or any future collaborators may not successfully commercialize any product candidate for which marketing approval is obtained.</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or any future collaborators to provide scientific and clinical support for the use of our products to each payor separately, with no assurance that coverage and adequate reimbursement will be applied consistently or obtained in the first instance.</w:t>
      </w:r>
    </w:p>
    <w:p>
      <w:pPr>
        <w:spacing w:after="0" w:line="19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FDA-approved drugs for a particular indication. We or any future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or any future collaborators commercialize and, if reimbursement is available, what the level of reimbursement and the timing of achieving a reimbursement determination will be.</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or any future collaborators may be required to conduct a clinical trial that compares the cost 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spacing w:after="0" w:line="19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internationally, to cap or reduce health care costs may cause such organizations to limit both coverage and level of reimbursement for new products approved, and, as a result, they may not cover or provide adequate payment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If we or any future collaborators are unable to establish or sustain coverage and adequate reimbursement for any future product candidates from third-party payors, the adoption of those product candidates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any future collaborators receive regulatory approval, less favorable coverage policies and reimbursement rates may be implemented in the future.</w:t>
      </w:r>
    </w:p>
    <w:p>
      <w:pPr>
        <w:spacing w:after="0" w:line="179" w:lineRule="exact"/>
        <w:rPr>
          <w:sz w:val="20"/>
          <w:szCs w:val="20"/>
          <w:color w:val="auto"/>
        </w:rPr>
      </w:pPr>
    </w:p>
    <w:p>
      <w:pPr>
        <w:ind w:left="120" w:right="6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Healthcare legislative reform measures may increase the difficulty and cost for us or any future collaborators to obtain marketing approval of and commercialize our product candidates and affect the pricing of our product candidates.</w:t>
      </w:r>
    </w:p>
    <w:p>
      <w:pPr>
        <w:spacing w:after="0" w:line="15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or any future collaborators’ ability to profitably sell any product candidates for which marketing approval is obtained. The commercial potential for our product candidates, if any, could be affected by changes in healthcare spending and policy in the United States and abroad.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if and when we or any future collaborators are able to obtain marketing approval and commercialize our product candidates.</w:t>
      </w:r>
    </w:p>
    <w:p>
      <w:pPr>
        <w:spacing w:after="0" w:line="18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For example, the ACA was enacted in 2010, which substantially changed the way healthcare is financed by both governmental and private insurers, and significantly impacts the U.S. pharmaceutical industry. While there have been legislative and judicial efforts to modify, repeal or otherwise invalidate all or certain aspects of the ACA or its implementing regulations, the ACA remains in effect in its current form. It is unclear how any such efforts in the future will impact the ACA or our business.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federal and state levels to reduce healthcare expenditures. For example, several healthcare reform initiatives culminated in the enactment of the IRA, in August 2022, which allows, among other things, the HHS to negotiate the selling price of certain drugs and biologics that CMS reimburses under Medicare Part B and Part D, although this only applies to high-expenditure single-source drugs that have been approved for at least seven years (11 years for biologics). The negotiated prices, which will first become effective in 2026, will be capped at a statutory ceiling price. For 2026, the first year in which negotiated prices become effective, CMS selected 10 high-cost Medicare Part D products in 2023, negotiations began in 2024, and the negotiated maximum fair price for each product has been announced. These negotiations resulted in significant price reductions for the products from their 2023 list prices, ranging from 38 to 79 percent, with an average price reduction of 59.4 percent. CMS has selected 15 additional</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Medicare Part D drugs for negotiated maximum fair pricing in 2027. For 2028, an additional 15 drugs, which may be covered under either Medicare Part B or Part D, will be selected, and for 2029 and subsequent years, 20 Part B or Part D drugs will be selected. The negotiated prices have represented, and will continue to represent, a significant discount from average prices to wholesalers and direct purchasers. The IRA also imposes rebates on Medicare Part B and Part D drugs whose prices have increased at a rate greater than the rate of inflation. In addition, the law eliminated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Further, in July 2025, the One Big Beautiful Bill Act (“OBBBA”) was signed into law, and restored immediate deductibility of domestic research and development expenditures, while foreign expenditures will continue to be capitalized and amortized over fifteen years. Further, the OBBBA is expected to reduce Medicaid spending and enrollment by implementing work requirements for some beneficiaries, capping state-directed payments, reducing federal funding, and limiting provider taxes used to fund the program. The OBBBA also narrows access to ACA marketplace exchange enrollment and declined to extend the enhanced subsidies for individuals purchasing health insurance coverage in ACA marketplaces which expired in 2025. It is likely these new laws will have been challenged in multiple lawsuits. Thus, it is unclear how the IRA will be implemented but it will likely have a significant impact on the pharmaceutical industry and the pricing of our products and product candidates. The adoption of restrictive price controls in new jurisdictions, more restrictive controls in existing jurisdictions or the failure to obtain or maintain timely or adequate pricing could also adversely impact revenue. We expect pricing pressures will continue globally.</w:t>
      </w:r>
    </w:p>
    <w:p>
      <w:pPr>
        <w:spacing w:after="0" w:line="19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It is likely that federal and state legislatures within the United States and foreign governments will continue to consider changes to existing healthcare legislation. These laws may result in additional reductions in Medicare and other healthcare funding. We cannot predict the reform initiatives that may be adopted in the future or whether initiatives that have been adopted will be repealed or modified.</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expect that the ACA, the IRA, the OBBBA and other state or federal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spacing w:after="0" w:line="176"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15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or any future collaborators succeed in marketing any of our product candidates, such claims could result in an FDA investigation of the safety and effectiveness of our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result, we may be unable to obtain sufficient insurance at a reasonable cost to protect us against losses caused by product liability claims that could have an adverse effect on our business.</w:t>
      </w:r>
    </w:p>
    <w:p>
      <w:pPr>
        <w:spacing w:after="0" w:line="158" w:lineRule="exact"/>
        <w:rPr>
          <w:sz w:val="20"/>
          <w:szCs w:val="20"/>
          <w:color w:val="auto"/>
        </w:rPr>
      </w:pPr>
    </w:p>
    <w:p>
      <w:pPr>
        <w:jc w:val="both"/>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Our relationships with customers and third-party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spacing w:after="0" w:line="17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Health care providers and third-party payors play a primary role in the recommendation and prescription of any product candidates for which we or any future collaborators obtain marketing approval. Our future arrangements with third-party payors and customers may expose us to broadly applicable fraud and abuse and other health care laws and regulations that may constrain the business or financial arrangements and relationships through which we or any future collaborators market, sell and distribute our product candidates for which marketing approval is obtained. Restrictions under applicable federal and state health care laws and regulations include the following:</w:t>
      </w:r>
    </w:p>
    <w:p>
      <w:pPr>
        <w:spacing w:after="0" w:line="89" w:lineRule="exact"/>
        <w:rPr>
          <w:sz w:val="20"/>
          <w:szCs w:val="20"/>
          <w:color w:val="auto"/>
        </w:rPr>
      </w:pPr>
    </w:p>
    <w:p>
      <w:pPr>
        <w:ind w:left="1080" w:right="120" w:hanging="424"/>
        <w:spacing w:after="0" w:line="261"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imposes criminal and civil liability for, among other things, executing or attempting to execute a scheme to defraud any health care benefit program or making false statements relating to health care matters;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81"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spacing w:after="0" w:line="88"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ACA,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ACA codified case law that a claim including items or services resulting from a violation of the federal Anti-Kickback Statute constitutes a false or fraudulent claim for purposes of the federal False Claims Act.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Some states further require pharmaceutical companies to implement compliance programs and/or marketing codes. Compliance with these laws is difficult and time consuming, and companies that do not comply with these state laws face civil penalties.</w:t>
      </w:r>
    </w:p>
    <w:p>
      <w:pPr>
        <w:spacing w:after="0" w:line="184"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Our failure to comply with privacy and data security laws, regulations and standards may cause our business to be materially adversely affected.</w:t>
      </w:r>
    </w:p>
    <w:p>
      <w:pPr>
        <w:spacing w:after="0" w:line="15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process a quantity of sensitive, confidential and/or regulated information, including confidential business and patient health information in connection with our clinical trials, and are subject to U.S. and international laws and regulations governing the privacy and security of such information. Each of these laws is subject to varying interpretations and constantly evolving. In the United States, there are numerous federal and state privacy and data security laws and regulations governing the collection, use, disclosure, processing and protection of personal information, including federal and state health information privacy laws, federal and state security breach notification laws, and federal and state consumer protection laws. In the EU and United Kingdom (“UK”), their respective General Data Protection Regulations (collectively, “GDPR”), which apply extraterritorially, impose several strict requirements for controllers and processors of personal information. These include higher standards for obtaining consent from individuals to process their personal information, increased requirements pertaining to the processing of special categories of personal information (such as health information) and pseudonymized (i.e., key-coded) data, and heightened transfer requirements of personal information from the European Economic Area/UK/Switzerland to countries not deemed to have adequate data protections laws (including the United States). Companies that must comply with the GDPR face increased compliance obligations and risk, including more robust regulatory enforcement of data protection requirements and potential fines for noncompliance of up to €20 million (approximately $22.6 million) or four percent of the annual global revenues of the noncompliant company, whichever is greater.</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United States, in addition to HIPAA, various federal (for example, the Federal Trade Commission)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impact our compliance efforts. For example, California enacted the California Consumer Privacy Act (as amended, the “CCPA”). Failure to comply with the CCPA may result in significant civil penalties, injunctive relief, or statutory or actual damages as determined by the California Privacy Protection Agency or the California Attorney General. Following California’s lead, over a third of U.S. states have adopted comprehensive privacy and security laws and regulations, which govern the privacy, processing and protection of personal information, including certain specific requirements and laws with respect to health-related information. For example, Washington state has passed the My Health My Data Act, which is focused on the collection of consumer health data, has a broader scope than HIPAA and includes a private right of action. In addition, various comprehensive federal privacy bills have been proposed in Congress.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cannot provide assurance that (i) current or future legislation will not prevent us from generating or maintaining personal information, or</w:t>
      </w:r>
    </w:p>
    <w:p>
      <w:pPr>
        <w:spacing w:after="0" w:line="27" w:lineRule="exact"/>
        <w:rPr>
          <w:sz w:val="20"/>
          <w:szCs w:val="20"/>
          <w:color w:val="auto"/>
        </w:rPr>
      </w:pPr>
    </w:p>
    <w:p>
      <w:pPr>
        <w:ind w:left="120" w:right="420" w:hanging="4"/>
        <w:spacing w:after="0" w:line="255" w:lineRule="auto"/>
        <w:tabs>
          <w:tab w:leader="none" w:pos="3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 consent to the use of their personal information (as necessary). Either of these circumstances may prevent us from undertaking or continuing essential research and development, manufacturing, and commercialization, which could have a material adverse effect on our business, results of operations, financial condition, and prospects.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Federal, state, and foreign government requirements include obligations to notify regulators and/or individuals of security breaches or other similar reportable incidents experienced by us, or our vendors, contractors, or organizations with whom we had specific contractual obligations to protect our data. Further, the improper access to, use of, or disclosure of our data or a third party’s personal information could subject us to individual or consumer class action litigation and governmental investigations and proceedings by federal, state, and local regulatory entities in the U.S. and by international regulatory entities. Compliance with these and any other applicable privacy and data security laws and regulations is a rigorous and time-intensive process, and we may be required to put in place additional mechanisms ensuring compliance with existing and new data protection rules and possible government oversight.</w:t>
      </w:r>
    </w:p>
    <w:p>
      <w:pPr>
        <w:spacing w:after="0" w:line="189"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adverse effect on our business, operating results, reputation, and financial condition.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results of operations, financial condition, and prospects.</w:t>
      </w:r>
    </w:p>
    <w:p>
      <w:pPr>
        <w:spacing w:after="0" w:line="193" w:lineRule="exact"/>
        <w:rPr>
          <w:sz w:val="20"/>
          <w:szCs w:val="20"/>
          <w:color w:val="auto"/>
        </w:rPr>
      </w:pPr>
    </w:p>
    <w:p>
      <w:pPr>
        <w:ind w:left="120" w:right="7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Our employees may engage in misconduct or other improper activities, including noncompliance with regulatory standards and requirements and insider trading.</w:t>
      </w:r>
    </w:p>
    <w:p>
      <w:pPr>
        <w:spacing w:after="0" w:line="15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will adopt a code of conduct prior to the closing of the Spin-Off,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If we are unable to obtain or protect intellectual property rights, we may not be able to compete effectively in our market.</w:t>
      </w:r>
    </w:p>
    <w:p>
      <w:pPr>
        <w:spacing w:after="0" w:line="229"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Our success depends in significant part on our and our licensors’ or any future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or any future collaborators may not be able to prepare, file and prosecute all necessary or desirable patent applications at a reasonable cost or in a timely manner. It is also possible that we or our licensors or any future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third parties and are reliant on our licensors or any future collaborators. Therefore, these patents and applications may not be prosecuted and enforced in a manner consistent with the best interests of our business. If our current or future licensors, licensees or any future collaborators fail to establish, maintain or protect such patents and other intellectual property rights, such rights may be reduced or eliminated. If our licensors or any future collaborators are not fully cooperative or disagree with us as to the prosecution, maintenance or enforcement of any patent rights, such patent rights could be compromised.</w:t>
      </w:r>
    </w:p>
    <w:p>
      <w:pPr>
        <w:spacing w:after="0" w:line="19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any future collaborators’ patent rights are highly uncertain. Our and our licensors’ or any future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any future collaborators to narrow the scope of the claims of our or our licensors’ or any future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Recent case law has increased uncertainty regarding the validity and enforceability of patents that contain broad antibody claims, including claims drafted in functional or genus form, even where examples are provided. As a result, patent claims that we obtain now or in the future could be narrowed during prosecution, or later held invalid or unenforceable. Our ability to obtain and maintain meaningful patent protection for our antibodies may depend on accurate and complete disclosure of technical characterizations of our antibodies, including biological sequence information. Any errors, omissions, inconsistencies, or later-developed scientific understanding that affects how our antibodies are characterized (including sequence information, epitope mapping, competition data, binding assays, or structure-function relationships) could impair our ability to obtain, maintain, or enforce patents, could provide a basis for third-party challenges, or could necessitate claim narrowing. In addition, some patent applications that we or our licensors have filed or will file in the future might not result in issued patents because we or our licensors have abandoned those patent applications as changes in business and/or legal strategies dictated.</w:t>
      </w:r>
    </w:p>
    <w:p>
      <w:pPr>
        <w:spacing w:after="0" w:line="19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partes review, nullification or derivation action in court or before patent offices or similar proceedings challenging the validity, enforceability or scope of such patents, which may result in the patent claims being narrowed or invalidated. Our and our licensors’ or any future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0"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Because patent applications in the United States and most other countries are confidential for a period of time after filing, and some remain so until issued, we cannot be certain that we or our licensors or any future collaborators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9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We may not be able to protect our intellectual property rights throughout the world.</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Filing, prosecuting, enforcing and defending patents on product candidates in all countries throughout the world would be prohibitively expensive, and our or our licensors’ licensees’ or any future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or any future collaborators may not be able to prevent third parties from practicing our and our licensors’ or any future collaborators’ inventions in all countries outside the United States or from selling or importing products made using our and our licensors’ or any future collaborators’ inventions in and into the United States or other jurisdictions. Competitors may use our and our licensors’ or any future collaborators’ technologies in jurisdictions where we have not obtained patent protection to develop their own products and, further, may export otherwise infringing products to territories where we and our licensors or any future collaborators have patent protection but enforcement is not as strong as that in the United States. These products may compete with our product candidates, and our and our licensors’ or any future collaborators’ patents or other intellectual property rights may not be effective or sufficient to prevent them from competing.</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or any future collaborators to stop the infringement of our and our licensors’ or any future collaborators’ patents or marketing of competing products in violation of our and our licensors’ or any future collaborators’ proprietary rights generally. Proceedings to enforce our and our licensors’ or any future collaborators’ patent rights in foreign jurisdictions could result in substantial costs and divert our and our licensors’ or any future collaborators’ efforts and attention from other aspects of our business, could put our and our licensors’ or any future collaborators’ patents at risk of being invalidated or interpreted narrowly and our and our licensors’ or any future collaborators’ patent applications at risk of not issuing and could provoke third parties to assert claims against us or our licensors or any future collaborators. We or our licensors or any future collaborators may not prevail in any lawsuits that we or our licensors or any future collaborators initiate, and the damages or other remedies awarded, if any, may not be commercially meaningful. Furthermore, the European patent litigation landscape has changed with the advent of the Unified Patent Court (UPC), which may allow third parties to seek, or may allow us to obtain, certain forms of relief with pan-European effect. This could increase the risk that a single adverse decision could significantly narrow, invalidate, or render unenforceable one or more of our European patents across multiple jurisdictions, or that we could be subject to injunctive relief affecting multiple markets, if subjected to the jurisdiction of the UPC.</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Changes in patent law could diminish the value of patents in general, thereby impairing our ability to protect our product candidates.</w:t>
      </w:r>
    </w:p>
    <w:p>
      <w:pPr>
        <w:spacing w:after="0" w:line="22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Patent reform legislation could increase the uncertainties and costs surrounding the prosecution of our and our licensors’, licensees’ or any future collaborators’ patent applications and the enforcement or defense of our or our licensors’, licensees’ or any future collaborators’ issued patents. On September 16, 2011, the Leahy-Smith America Invents Act (the “AIA”) was signed into law. The AIA includes a number of significant changes to U.S. patent law. These include provisions that affect the way patent applications are prosecuted and may also affect patent litigation.</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uncertainties and costs surrounding the prosecution of our patent applications and the enforcement or defense of our issued patents.</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Moreover, future and recent past changes in the patent laws in the U.S. and abroad could impact or could increase the uncertainties and costs surrounding the prosecution of our and our licensors’ or any future collaborators’ patent applications and the enforcement or defense of our or our licensors’ or any future collaborators’ issued patents, which could have an impact on our business and financial conditions. For example, the U.S. Supreme Court and the U.S. Court of Appeals for the Federal Circuit rendered decisions in several patent cases such as </w:t>
      </w:r>
      <w:r>
        <w:rPr>
          <w:rFonts w:ascii="Times New Roman" w:cs="Times New Roman" w:eastAsia="Times New Roman" w:hAnsi="Times New Roman"/>
          <w:sz w:val="18"/>
          <w:szCs w:val="18"/>
          <w:i w:val="1"/>
          <w:iCs w:val="1"/>
          <w:color w:val="auto"/>
        </w:rPr>
        <w:t>Association for Molecular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Pathology v. Myriad Genetics, Inc., BRCA1- &amp; BRCA2-Based Hereditary Cancer Test Patent Litig.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Mayo Collaborative Services v. Prometheus Laboratories, Inc.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Alice Corporation Pty. Ltd. v. CLS Bank International</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Amgen v. Sanofi </w:t>
      </w:r>
      <w:r>
        <w:rPr>
          <w:rFonts w:ascii="Times New Roman" w:cs="Times New Roman" w:eastAsia="Times New Roman" w:hAnsi="Times New Roman"/>
          <w:sz w:val="18"/>
          <w:szCs w:val="18"/>
          <w:color w:val="auto"/>
        </w:rPr>
        <w:t>either narrowing the scope of patent protection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certain circumstances or weakening the rights of patent owners in certain situations. In addition to increasing uncertainty with regard to our and our licensors’ or any future collaborators’ ability to obtain patents in the future, these type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or any future collaborators’ ability to obtain new patents or to enforce existing patents and patents that we and our licensors or any future collaborators may obtain in the future.</w:t>
      </w:r>
    </w:p>
    <w:p>
      <w:pPr>
        <w:spacing w:after="0" w:line="188" w:lineRule="exact"/>
        <w:rPr>
          <w:sz w:val="20"/>
          <w:szCs w:val="20"/>
          <w:color w:val="auto"/>
        </w:rPr>
      </w:pPr>
    </w:p>
    <w:p>
      <w:pPr>
        <w:ind w:left="120"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any future collaborators fail to maintain the patents and patent applications covering our product candidates, our competitors might be able to enter the market, which would have an adverse effect on our business.</w:t>
      </w:r>
    </w:p>
    <w:p>
      <w:pPr>
        <w:spacing w:after="0" w:line="168"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15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Because we plan to collaborate with various collaborators on the development and commercialization of one or more of our product candidates and because we rely on third parties to manufacture our product candidates, we must, at times, share trade secrets with them. We seek to protect our wholly 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Any future collaborative research and development programs may require us to share trade secrets under the terms of our research and development collaborations or similar agreements. Despite our efforts to protect our trade secrets, our competitors may discover our trade secrets through breach of our agreements with third parties, independent development or publication of information by any of our future third-party collaborators. A competitor’s discovery of our trade secrets would impair our competitive position and have an adverse impact on our business.</w:t>
      </w:r>
    </w:p>
    <w:p>
      <w:pPr>
        <w:spacing w:after="0" w:line="184" w:lineRule="exact"/>
        <w:rPr>
          <w:sz w:val="20"/>
          <w:szCs w:val="20"/>
          <w:color w:val="auto"/>
        </w:rPr>
      </w:pPr>
    </w:p>
    <w:p>
      <w:pPr>
        <w:ind w:left="120" w:right="5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We may become involved in lawsuits to protect or enforce our intellectual property, which could be expensive, time-consuming and unsuccessful and have an adverse effect on the success of our business.</w:t>
      </w:r>
    </w:p>
    <w:p>
      <w:pPr>
        <w:spacing w:after="0" w:line="15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Third parties may infringe our or our licensors’ or any future collaborators’ patents or misappropriate or otherwise violate our or our licensors’ or any future collaborators’ intellectual property rights. In the future, we or our licensors or any future collaborators may initiate legal proceedings to enforce or defend our or our licensors’ or any future collaborators’ intellectual property rights to protect our or our licensors’ or any future collaborators’ trade secrets or to determine the validity or scope of intellectual property rights we own or control. Also, third parties may initiate legal proceedings against us or our licensors or any future collaborators to challenge the validity or scope of intellectual property rights we own or control. These proceedings can be expensive and time-consuming, and many of our or our licensors’ or any future collaborators’ adversaries in these proceedings may have the ability to dedicate substantially greater resources to prosecuting these legal actions than we or our licensors or any future collaborators. In addition, in an infringement proceeding, a court may decide that a patent owned by or licensed to us is invalid or unenforceable, or may refuse to stop the other party from using the technology at issue on the grounds that our or our licensors’ or any future collaborators’ patents do not cover the technology in question. Furthermore, an adverse result in any litigation or administrative proceeding could put one or more of our or our licensors’ or any future collaborators’ patents at risk of being invalidated, held unenforceable or interpreted narrowly.</w:t>
      </w:r>
    </w:p>
    <w:p>
      <w:pPr>
        <w:spacing w:after="0" w:line="192"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Accordingly, despite our or our licensors’ or any future collaborators’ efforts, we or our licensors, licensees or any future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or any future collaborators to protect or enforce our or our licensors’ or any future collaborators’ patents or patent applications. Additionally, third-party preissuance submission of prior art to the USPTO or other foreign jurisdictions may jeopardize the issuance or scope of our or our licensors’ or any future collaborators’ patent applications. An unfavorable outcome in any such proceedings could require us or our licensors or any future collaborators to cease using the related technology, or to attempt to license rights to it from the prevailing party. Our business could be harmed if the prevailing party does not offer us or our licensors or any future collaborators a license on commercially reasonable terms or at all, and we could be forced to stop commercializing our product candidates. Even if we or our licensors or any future collaborators obtain a license, it may be non-exclusive, thereby giving our competitors access to the same technologies licensed to us or our licensors or any future collaborators.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if the breadth or strength of protection provided by our or our licensors’ or any future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176" w:lineRule="exact"/>
        <w:rPr>
          <w:sz w:val="20"/>
          <w:szCs w:val="20"/>
          <w:color w:val="auto"/>
        </w:rPr>
      </w:pPr>
    </w:p>
    <w:p>
      <w:pPr>
        <w:ind w:left="120" w:right="7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If we breach the license agreements related to our product candidates, we could lose the ability to continue the development and commercialization of our product candidates.</w:t>
      </w:r>
    </w:p>
    <w:p>
      <w:pPr>
        <w:spacing w:after="0" w:line="15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licensors and collaborators to develop, manufacture, market and sell our product candidates and use our and our licensors’ or any future collaborators’ wholly owned technologies without infringing the proprietary rights of third parties. A third party may hold intellectual property, including patent rights that are important or necessary to the development of our products. As a result, we may enter into license agreements in the future with others in order to advance our existing or future research or allow commercialization of our existing or future product candidates. These licenses may not provide exclusive rights to use such intellectual property and technology in all relevant fields of use and in all territories in which we may wish to develop or commercialize our technology and product candidates in the future. In addition, we entered into an exclusive license agreement with Centessa Pharmaceuticals (UK) Limited (“Centessa”), which relates to our product candidate, ANB101, and are subject to certain obligations thereunder. If we fail to comply with the obligations under any such agreement,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131"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any collaboration relationships we might enter into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us and our licensors or any future collaborators;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left="120" w:right="900" w:firstLine="440"/>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or any future licensing arrangements on acceptable terms, we may be unable to successfully develop and commercialize the affected product candidates.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175"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Third parties may initiate legal proceedings against us or our licensors or any future collaborators alleging that we or our licensors or any future collaborators infringe their intellectual property rights or we or our licensors or any future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licensees’ or any future collaborators’ adversaries in these proceedings may have the ability to dedicate substantially greater resources to prosecuting these legal actions than we or our licensors or any future collaborators.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or any future collaborators to cease using the related technology, to cease developing or commercializing our product candidates or to attempt to license rights to it from the prevailing party. Our business could be harmed if the prevailing party does not offer us or our licensors or any future collaborators a license on commercially reasonable terms or at all. Even if we or our licensors or any future collaborators obtain a license, it may be non-exclusive, thereby giving our competitors access to the same technologies licensed to us or our licensors or any future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190" w:lineRule="exact"/>
        <w:rPr>
          <w:sz w:val="20"/>
          <w:szCs w:val="20"/>
          <w:color w:val="auto"/>
        </w:rPr>
      </w:pPr>
    </w:p>
    <w:p>
      <w:pPr>
        <w:ind w:left="120"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15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Our inability to protect our confidential information and trade secrets would harm our business and competitive position.</w:t>
      </w:r>
    </w:p>
    <w:p>
      <w:pPr>
        <w:spacing w:after="0" w:line="2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188"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If we do not obtain protection under the Hatch-Waxman Amendments and similar foreign legislation for extending the term of patents covering each of our product candidates, our business may be harmed.</w:t>
      </w:r>
    </w:p>
    <w:p>
      <w:pPr>
        <w:spacing w:after="0" w:line="159" w:lineRule="exact"/>
        <w:rPr>
          <w:sz w:val="20"/>
          <w:szCs w:val="20"/>
          <w:color w:val="auto"/>
        </w:rPr>
      </w:pPr>
    </w:p>
    <w:p>
      <w:pPr>
        <w:ind w:left="120" w:right="100" w:firstLine="440"/>
        <w:spacing w:after="0" w:line="272" w:lineRule="auto"/>
        <w:rPr>
          <w:sz w:val="20"/>
          <w:szCs w:val="20"/>
          <w:color w:val="auto"/>
        </w:rPr>
      </w:pPr>
      <w:r>
        <w:rPr>
          <w:rFonts w:ascii="Times New Roman" w:cs="Times New Roman" w:eastAsia="Times New Roman" w:hAnsi="Times New Roman"/>
          <w:sz w:val="17"/>
          <w:szCs w:val="17"/>
          <w:color w:val="auto"/>
        </w:rPr>
        <w:t>Depending upon the timing, duration and conditions of FDA marketing approval of our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the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Risks Related to Managing Growth, Operations and Macroeconomic Conditions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We must attract and retain highly skilled employees in order to succeed.</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clinical, scientific, technical and management personnel, and we face significant competition for experienced personnel. This is especially critical as we ramp up our hiring needs entering into later-stage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 Further, any additional obligations of our senior management team that occur in connection with the separation of our business may result in operational disruptions, and our business may be harmed as a result.</w:t>
      </w:r>
    </w:p>
    <w:p>
      <w:pPr>
        <w:spacing w:after="0" w:line="188"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we do. They also</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80"/>
          </w:cols>
          <w:pgMar w:left="320" w:top="455"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72"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We expect to expand our development and regulatory capabilities, and as a result, we may encounter difficulties in managing our growth, which could disrupt our operations.</w:t>
      </w:r>
    </w:p>
    <w:p>
      <w:pPr>
        <w:spacing w:after="0" w:line="15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5"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Our internal computer systems, or those of our future third-party collaborators or other service providers, may fail or suffer security breaches and cyber-attacks, which could result in a material disruption of our development programs.</w:t>
      </w:r>
    </w:p>
    <w:p>
      <w:pPr>
        <w:spacing w:after="0" w:line="159"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infrastructure and data to operate our business. In the ordinary course of our business, we collect, store, process and transmit large amounts of confidential and sensitive information. It is critical that we do so in a secure manner to maintain the confidentiality, integrity and availability of such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our information. We have also outsourced elements of our information technology infrastructure, resulting in a number of third-party vendors that may or could have access to our information. Despite the implementation of security measures, any of the internal technology systems belonging to us, any future collaborators or our third-party service providers are vulnerable to damage from computer viruses, bugs, worms, malware, hacking, supply chain attacks and vulnerabilities, distributed denial-of-service attacks, credential stuffing or harvesting, unauthorized access, natural disasters, terrorism, war and telecommunication and electrical failure. Any system failure, accident or security breach that causes interruptions in our own, in any future collaborators’ or in third-party service providers’ operations could result in a material disruption of our drug discovery and development programs. For example, the loss of clinical trial data from completed or future clinical trials could result in delays in our or any future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sensitive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19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system protections may be ineffective or inadequate, or we could be impacted by software bugs or other technical malfunctions, as well as employee error or malfeasance. Additionally, laws and regulations regarding privacy and data protection are evolving, and it is possible that they may be interpreted and applied in a manner that is inconsistent with our data handling safeguards and practices that could result in fines, lawsuits, and other penalties, and significant changes to our or any future collaborators or third-party service providers’ business practices and products and service offerings. To the extent that the measures we or any future collaborators or third-party service providers have taken prove to be insufficient or inadequate, we may become subject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litigation, breach notification obligations, or regulatory or administrative sanctions, which could result in significant fines, penalties, damages, harm to our reputation, or loss of customers. While we have not experienced any material losses as a result of any system failure, accident or security breach to date, we have been the subject of certain phishing attempts in the past. If such an event were to occur and cause interruptions in our operations, it could result in a material disruption of our development programs and our business operations, whether due to a loss of our trade secrets or other proprietary information or other similar disruptions. Additionally, a party who circumvents our security measures could, among other effects, appropriate proprietary data, cause interruptions in our operations, or expose any future collaborators to hacks, viruses, and other disruptions. For example, the loss of clinical trial data from completed or future clinical trials could result in delays in our regulatory approval efforts and significantly increase our costs to recover or reproduce the data. In addition, while we maintain cybersecurity insurance coverage, we cannot be sure that such coverage will be adequate or sufficient to compensate for any losses associated with such events, that such coverage will continue to be available on commercially reasonable terms or at all, or that such coverage will pay future claims. The development and maintenance of our information technology systems, controls and processes is costly and requires ongoing monitoring and updating as technologies change and efforts to overcome security measures become increasingly sophisticated.</w:t>
      </w:r>
    </w:p>
    <w:p>
      <w:pPr>
        <w:spacing w:after="0" w:line="186" w:lineRule="exact"/>
        <w:rPr>
          <w:sz w:val="20"/>
          <w:szCs w:val="20"/>
          <w:color w:val="auto"/>
        </w:rPr>
      </w:pPr>
    </w:p>
    <w:p>
      <w:pPr>
        <w:ind w:left="120" w:right="5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spacing w:after="0" w:line="17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or other disasters, including those resulting from or amplified by climate change,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facilities were impacted by a seismic or wildfire event, we could lose some, or all, of our antibody sequences, which would have an adverse effect on our ability to perform our obligations under any future collaborations and discover new targets.</w:t>
      </w:r>
    </w:p>
    <w:p>
      <w:pPr>
        <w:spacing w:after="0" w:line="19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Furthermore, integral parties in our supply chain are geographically concentrated and operating from single sites, increasing their vulnerability to natural disasters or other sudden, unforeseen and severe and/or material disruptions. If such an event were to affect the parties integral to our supply chain, it could have a material adverse effect on our business.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Risks Related to the Spin-Off</w:t>
      </w:r>
    </w:p>
    <w:p>
      <w:pPr>
        <w:spacing w:after="0" w:line="225" w:lineRule="exact"/>
        <w:rPr>
          <w:sz w:val="20"/>
          <w:szCs w:val="20"/>
          <w:color w:val="auto"/>
        </w:rPr>
      </w:pPr>
    </w:p>
    <w:p>
      <w:pPr>
        <w:ind w:left="120"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Spin-Off will be taxable and holders of shares of AnaptysBio, Inc.’s common stock will recognize taxable income, and the resulting tax liability to holders of shares of AnaptysBio, Inc.’s common stock may exceed the amount of cash received in lieu of fractional shares of Biopharma Co. common stock in the Spin-Off.</w:t>
      </w:r>
    </w:p>
    <w:p>
      <w:pPr>
        <w:spacing w:after="0" w:line="17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Spin-Off will be treated as a taxable distribution with respect to shares of AnaptysBio, Inc.’s common stock for U.S. federal income tax purposes. Accordingly, a U.S. holder of shares of AnaptysBio, Inc. common stock will be treated as receiving a taxable distribution in an amount equal to the fair market value of any shares of Biopharma Co. common stock plus the U.S. dollar value of cash in lieu of fractional shares received pursuant to the Spin-Off. Accordingly, the income recognized by a U.S. holder on the Spin-Off could result in a tax liability in excess of any cash received in the Spin-Off, depending on the U.S. holder’s individual circumstances. A Non-U.S. holder generally will be subject to U.S. federal income tax withholding at a rate of 30% (or a lower rate under an applicable income tax treaty) with respect to the portion of the Spin-Off that is treated as a taxable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distribution unless certain exceptions apply. Since the determination of the portion of the Spin-Off that is treated as a taxable dividend will not be completed until after the closing of the current taxable year, it is possible that a broker, dealer, bank or other custodian that holds shares of AnaptysBio, Inc. common stock beneficially owned by a Non-U.S. holder may withhold at a rate of 30% (or a lower rate under an applicable income tax treaty) on the entire amount of the Spin-Off. For more information, see the discussion below under “</w:t>
      </w:r>
      <w:r>
        <w:rPr>
          <w:rFonts w:ascii="Times New Roman" w:cs="Times New Roman" w:eastAsia="Times New Roman" w:hAnsi="Times New Roman"/>
          <w:sz w:val="18"/>
          <w:szCs w:val="18"/>
          <w:i w:val="1"/>
          <w:iCs w:val="1"/>
          <w:color w:val="auto"/>
        </w:rPr>
        <w:t>Material U.S. Federal Income Tax Consequences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Spin-Off.</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We may be unable to achieve some or all of the benefits that we expect to achieve from the Spin-Off.</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be unable to achieve the full strategic and financial benefits expected to result from the Spin-Off, or such benefits may be delayed or not occur at all. We believe that, as an independent, publicly traded company, we are able to, among other things, focus on Biopharma Co’s and AnaptysBio, Inc.’s distinctive set of assets, business objectives and unique opportunities for long-term growth and profitability. Each company will be able to tailor capital and corporate resources to each company’s distinct operating and financial objectives and will have increased flexibility to pursue independent strategic and financial plans and strategic partnerships without considering competing priorities of the other business. Being independent will enable each of Biopharma Co. and AnaptysBio, Inc. to create independent capital structures that will afford each company direct access to the debt and equity capital markets, allow investors to evaluate the separate investment characteristics of each company and enable each of Biopharma Co. and AnaptysBio, Inc. to maintain an employee base more aligned with the specific operating and financial objectives of each company.</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may be unable to achieve some or all of the benefits that we expect to achieve as an independent company in the time we expect, if at all, for a variety of reasons, including: (i) we may be more susceptible to market fluctuations, actions by activist stockholders, and other adverse events than if we were still a part of AnaptysBio, Inc.; (ii) our businesses are less diversified than AnaptysBio, Inc.’s businesses prior to the separation; (iii) the actions required to separate AnaptysBio, Inc.’s and our respective businesses could disrupt our operations; and (iv) economic and business conditions that affect Biopharma Co. and the biotechnology industry generally and any material changes in global, political, economic, business, competitive, market or regulatory forces. If we fail to achieve some or all of the benefits that we expect to achieve as an independent company, or do not achieve them in the time we expect, our business, financial condition, cash flows, and results of operations could be adversely affected.</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As an independent, publicly traded company, we may not enjoy the same benefits that we did as part of AnaptysBio, Inc.</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There is a risk that, by separating from AnaptysBio, Inc., we may become more susceptible to market fluctuations and other adverse events than we would have been if we were still a part of the current AnaptysBio, Inc. organizational structure. As part of AnaptysBio, Inc., we have been able to enjoy certain benefits from AnaptysBio, Inc.’s operating diversity, cost of capital and borrowing capacity, and opportunities to pursue integrated strategies with AnaptysBio, Inc.’s other businesses. As an independent, publicly traded company, we will not have the same benefits. As an independent, publicly traded company, we will need to develop new strategies, and it may be more difficult for us to recruit or retain key personnel.</w:t>
      </w:r>
    </w:p>
    <w:p>
      <w:pPr>
        <w:spacing w:after="0" w:line="179" w:lineRule="exact"/>
        <w:rPr>
          <w:sz w:val="20"/>
          <w:szCs w:val="20"/>
          <w:color w:val="auto"/>
        </w:rPr>
      </w:pPr>
    </w:p>
    <w:p>
      <w:pPr>
        <w:ind w:left="120" w:right="4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We have no recent history of operating as a standalone public company, and our historical financial information may not necessarily reflect the results that we would have achieved as a standalone public company or what our results may be in the future.</w:t>
      </w:r>
    </w:p>
    <w:p>
      <w:pPr>
        <w:spacing w:after="0" w:line="15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have historically operated as part of AnaptysBio, Inc. The financial information included in this information statement has been prepared from AnaptysBio, Inc.’s historical accounting records and is derived from the combined financial statements of AnaptysBio, Inc. to present Biopharma Company, Inc. as if it had been operating on a standalone basis. Accordingly, this information may not necessarily reflect what our financial condition, results of operations or cash flows would have been had we been a standalone company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during the periods presented or what our financial condition, results of operations and cash flows may be in the future, primarily because of the following factors:</w:t>
      </w:r>
    </w:p>
    <w:p>
      <w:pPr>
        <w:spacing w:after="0" w:line="67" w:lineRule="exact"/>
        <w:rPr>
          <w:sz w:val="20"/>
          <w:szCs w:val="20"/>
          <w:color w:val="auto"/>
        </w:rPr>
      </w:pPr>
    </w:p>
    <w:p>
      <w:pPr>
        <w:ind w:left="1080" w:right="100" w:hanging="424"/>
        <w:spacing w:after="0" w:line="261"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enter into a Transition Services Agreement pursuant to which we will provide AnaptysBio, Inc., with certain specified services for a limited time, to ensure an orderly transition following the Spin-Off. The services we will provide consist of digital technology, human resources, supply chain, finance, and real estate services, among others. See “</w:t>
      </w:r>
      <w:r>
        <w:rPr>
          <w:rFonts w:ascii="Times New Roman" w:cs="Times New Roman" w:eastAsia="Times New Roman" w:hAnsi="Times New Roman"/>
          <w:sz w:val="18"/>
          <w:szCs w:val="18"/>
          <w:i w:val="1"/>
          <w:iCs w:val="1"/>
          <w:color w:val="auto"/>
        </w:rPr>
        <w:t>Certain Relationships and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Transactions—Agreements to be Entered into in Connection with the Spin-Off —Transition Services Agreement.</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jc w:val="both"/>
        <w:ind w:left="1080" w:right="440" w:hanging="424"/>
        <w:spacing w:after="0" w:line="312" w:lineRule="auto"/>
        <w:tabs>
          <w:tab w:leader="none" w:pos="10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enter into agreements and transactions with AnaptysBio, Inc. that did not exist prior to the Spin-Off, such as our provision of transition and other services to AnaptysBio, Inc., and undertake indemnification obligations, which may cause us to incur new costs.</w:t>
      </w:r>
    </w:p>
    <w:p>
      <w:pPr>
        <w:spacing w:after="0" w:line="45" w:lineRule="exact"/>
        <w:rPr>
          <w:rFonts w:ascii="Times New Roman" w:cs="Times New Roman" w:eastAsia="Times New Roman" w:hAnsi="Times New Roman"/>
          <w:sz w:val="17"/>
          <w:szCs w:val="17"/>
          <w:color w:val="auto"/>
        </w:rPr>
      </w:pPr>
    </w:p>
    <w:p>
      <w:pPr>
        <w:ind w:left="1080" w:right="140" w:hanging="424"/>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working capital requirements and capital expenditures have historically been satisfied as part of AnaptysBio, Inc.’s corporate-wide cash management and centralized funding programs, and our cost of capital may differ significantly from the historical amounts reflected in our historical financial statements.</w:t>
      </w:r>
    </w:p>
    <w:p>
      <w:pPr>
        <w:spacing w:after="0" w:line="81" w:lineRule="exact"/>
        <w:rPr>
          <w:rFonts w:ascii="Times New Roman" w:cs="Times New Roman" w:eastAsia="Times New Roman" w:hAnsi="Times New Roman"/>
          <w:sz w:val="18"/>
          <w:szCs w:val="18"/>
          <w:color w:val="auto"/>
        </w:rPr>
      </w:pPr>
    </w:p>
    <w:p>
      <w:pPr>
        <w:jc w:val="both"/>
        <w:ind w:left="1080" w:right="40" w:hanging="424"/>
        <w:spacing w:after="0" w:line="312" w:lineRule="auto"/>
        <w:tabs>
          <w:tab w:leader="none" w:pos="10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Currently, our business is under common ownership with the other businesses of AnaptysBio, Inc., and we benefit from AnaptysBio, Inc.’s existing collaborations and related royalty revenue streams, which we will no longer benefit from following the separation of our business.</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additional information about our past financial performance and the basis of presentation of our combined financial statements, see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Unaudited Pro Forma Combined Financial Statements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our historical combined financial statements and the notes thereto included elsewhere in this information statement.</w:t>
      </w:r>
    </w:p>
    <w:p>
      <w:pPr>
        <w:spacing w:after="0" w:line="203"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Certain of our directors and employees may have actual or potential conflicts of interest because of their financial interests in, or because of their previous or continuing positions with, AnaptysBio, Inc. or other entities with which we have commercial arrangements.</w:t>
      </w:r>
    </w:p>
    <w:p>
      <w:pPr>
        <w:spacing w:after="0" w:line="15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Following the completion of the Spin-Off, certain of our executive officers and our directors will continue to serve as executive officers and directors of AnaptysBio, Inc. In light of the substantial operational, scientific and development demands associated with Biopharma Co. as a clinical-stage biotechnology business focused on the development and potential commercialization of innovative therapeutics for autoimmune and inflammatory diseases, including rosnilimab, ANB033 and ANB101, we expect that our executive officers will devote a majority of their working time to Biopharma Co. Given their ongoing responsibilities to AnaptysBio, Inc, certain of our executive officers will not be able to devote their full time, effort and attention exclusively to our company’s affairs. In addition, after the completion of the Spin-Off, because of their current positions with AnaptysBio, Inc., certain of our executive officers and directors will own equity interests in both us and AnaptysBio, Inc. Continuing ownership of AnaptysBio, Inc. shares and equity awards could create, or appear to create, potential conflicts of interest if we and AnaptysBio, Inc. face decisions that could have implications for both us and AnaptysBio, Inc. Potential conflicts of interest could arise in connection with the resolution of any dispute between us and AnaptysBio, Inc. regarding the terms of the agreements governing the Spin-Off and our relationship with AnaptysBio, Inc. following the Spin-Off. See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 in this information statement for information about some of these agreements. Potential conflicts of interest may also arise out of any commercial arrangements that we or AnaptysBio, Inc. may enter into in the future. A dispute regarding a potential or actual conflict of interest involving us and AnaptysBio, Inc. or any of such other companies could negatively impact our businesses, results of operations, cash flows, and financial condition. In addition, public perception of such an actual or apparent conflict of interest could pose reputational risks and expose us to increased scrutiny from investors and regulators. Although we have policies governing conflicts of interest, they may not sufficiently protect against these risks. Prior to the Spin-Off, we will adopt a written Related Party Transaction Policy applicable to our executive officers, directors and nominees for director.</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terms we will receive in our agreements with AnaptysBio, Inc. could be less beneficial than the terms we may have otherwise received from unaffiliated third parties.</w:t>
      </w:r>
    </w:p>
    <w:p>
      <w:pPr>
        <w:spacing w:after="0" w:line="15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agreements we will enter into with AnaptysBio, Inc. in connection with the separation will be negotiated prior to the Spin-Off, at a time when our business will still be operated by AnaptysBio, Inc. Many aspects of the agreements will be entered into on arm’s-length terms similar to those that would be agreed with an unaffiliated third-party such as a buyer in a sale transaction, but we will not have an independent board of directors or a management team independent of AnaptysBio, Inc. representing our interests while the agreements are being negotiated. In addition, until the Spin-Off occurs, we will continue to be a wholly-owned subsidiary of AnaptysBio, Inc. and, accordingly, AnaptysBio, Inc. will still have the discretion to determine and change the terms of the separation until the Distribution Date. As a result of these factors, some of the terms of those agreements may not reflect terms that would have resulted from arm’s-length negotiations between unaffiliated third parties, and it is possible that we might have been able to achieve more favorable terms if the circumstances differed. See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We or AnaptysBio, Inc. may fail to perform under various existing agreements and transaction agreements that were executed as part of the separation.</w:t>
      </w:r>
    </w:p>
    <w:p>
      <w:pPr>
        <w:spacing w:after="0" w:line="15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separation, we and AnaptysBio, Inc. will enter into certain transaction agreements related to the Spin-Off. All of these agreements will govern our relationship with AnaptysBio, Inc. In addition, we will receive certain rights under certain of AnaptysBio, Inc.’s existing agreements. We will rely on AnaptysBio, Inc. to satisfy its performance obligations under all such agreements. If we or AnaptysBio, Inc. are unable to satisfy our or its respective obligations under these agreements, including indemnification obligations, our business, results of operations, cash flows, and financial condition could be adversely affected. See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Raising capital may cause dilution to our stockholders, restrict our operations or require us to relinquish rights to our product candidates on unfavorable terms to us.</w:t>
      </w:r>
    </w:p>
    <w:p>
      <w:pPr>
        <w:spacing w:after="0" w:line="15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may seek capital through a variety of means, including through public or private equity, debt financings or other sources, including up-front payments and milestone payments from strategic collaborations, license agreements and royalty agreements. To the extent that we raise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capital due to favorable market conditions or strategic considerations even if we believe we have sufficient funds for our current or future operating plans.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Risks Related to Ownership of Shares of Our Common Stock</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market price of our stock may be volatile, and you could lose all or part of the value of shares of our common stock.</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After the Spin-Off, the trading price of shares of our common stock may be highly volatile and subject to wide fluctuations in response to various factors, some of which we cannot control. In addition to the factors discussed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and elsewhere in this information statement, these factors include:</w:t>
      </w:r>
    </w:p>
    <w:p>
      <w:pPr>
        <w:spacing w:after="0" w:line="81"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w:t>
      </w:r>
    </w:p>
    <w:p>
      <w:pPr>
        <w:spacing w:after="0" w:line="130" w:lineRule="exact"/>
        <w:rPr>
          <w:rFonts w:ascii="Times New Roman" w:cs="Times New Roman" w:eastAsia="Times New Roman" w:hAnsi="Times New Roman"/>
          <w:sz w:val="18"/>
          <w:szCs w:val="18"/>
          <w:color w:val="auto"/>
        </w:rPr>
      </w:pPr>
    </w:p>
    <w:p>
      <w:pPr>
        <w:ind w:left="5540" w:right="4520" w:hanging="4884"/>
        <w:spacing w:after="0" w:line="454" w:lineRule="auto"/>
        <w:tabs>
          <w:tab w:leader="none" w:pos="109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 50</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product candidates or those of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collaboration agreements;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breaches and terminations of our manufacturing agreements, collaborations agreements or other important agreements;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in-license or acquire additional product candidates or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by us, our insiders or our other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separation from AnaptysBio, Inc. into two independent, publicly-traded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biotechnology sector;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uncertainty and capital markets disruptions, which have been substantially impacted by geopolitical instability, actual or perceived instability in the U.S. and global banking systems, uncertainty with respect to the U.S. federal budget, and fluctuating interest rates, tariffs and inflation.</w:t>
      </w:r>
    </w:p>
    <w:p>
      <w:pPr>
        <w:spacing w:after="0" w:line="176"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In addition, the stock market in general, and the Exchange and biotechnology companies in particular, have experienced extreme price and volume fluctuations that have often been unrelated or disproportionate to the operating performance of these companies. Broad market and industry factors may negatively affect the market price of shares of our common stock, regardless of our actual operating performance. In the past, following periods of volatility in the overall market and the market price of a particular company’s securities, securities class action litigation has often been instituted against these companies. AnaptysBio, Inc. has been subject to securities litigation in the past, and any future securities litigation could result in substantial costs and a diversion of our management’s attention and resources. The realization of any of the above risks or any of a broad range of other risks, including those described in this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section, could have a dramatic and adverse impact on the market price of shares of our common stock.</w:t>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We may be subject to securities litigation, which is expensive and could divert management attention.</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market price of shares of our common stock may be volatile and, in the past, companies that have experienced volatility in the market price of their stock have been subject to securities class action litigation. We may be the target of this type of litigation. Regardless of the outcome, future litigation against us could result in substantial costs and divert our management’s attention from other business concerns, which could seriously harm our business.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No market for shares of our common stock currently exists and an active trading market may not develop or be sustained after the Spin-Off. Following the Spin-Off, our share price may fluctuate significantly, and there can be no assurance that the combined trading prices of a share of our common stock and a share of AnaptysBio, Inc.’s common stock would exceed the trading price of a share of AnaptysBio, Inc. common stock absent the Spin-Off.</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There is currently no public market for shares of our common stock. In connection with the Spin-Off, we will apply to have shares of our common stock approved for listing on the Exchange and the completion of the Spin-Off is conditioned on shares of our common stock being accepted for listing on the Exchange. We anticipate that before the Distribution Date, trading of shares of our common stock will begin on a “when-issued” basis and this trading will continue through the Distribution Date. However, an active trading market for shares of our common stock may not develop as a result of the Spin-Off or may not be sustained in the future. The lack of an active market may make it more difficult for stockholders to sell our shares and could lead to our share price being depressed or volatile.</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cannot predict the prices at which shares of our common stock may trade after the Spin-Off or whether the combined trading prices of a share of Biopharma Co. common stock and a share of AnaptysBio, Inc.’s common stock will be less than, equal to, or greater than the trading price of a share of AnaptysBio, Inc.’s common stock prior to the Spin-Off. The market price of a share of Biopharma Co. common stock may fluctuate widely depending on many factors, some of which may be beyond our control.</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Furthermore, our business profile and market capitalization may not fit the investment objectives of some AnaptysBio, Inc. stockholders and, as a result, these AnaptysBio, Inc. stockholders may sell their shares of our common stock after the Spin-Off. See “—</w:t>
      </w:r>
      <w:r>
        <w:rPr>
          <w:rFonts w:ascii="Times New Roman" w:cs="Times New Roman" w:eastAsia="Times New Roman" w:hAnsi="Times New Roman"/>
          <w:sz w:val="18"/>
          <w:szCs w:val="18"/>
          <w:i w:val="1"/>
          <w:iCs w:val="1"/>
          <w:color w:val="auto"/>
        </w:rPr>
        <w:t>Substantial sales of shares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 may occur in connection with the Spin-Off, or in the future, which could cause our share price to decline or be volatile.</w:t>
      </w:r>
      <w:r>
        <w:rPr>
          <w:rFonts w:ascii="Times New Roman" w:cs="Times New Roman" w:eastAsia="Times New Roman" w:hAnsi="Times New Roman"/>
          <w:sz w:val="18"/>
          <w:szCs w:val="18"/>
          <w:color w:val="auto"/>
        </w:rPr>
        <w:t>” Low trading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 for shares of our common stock, which may occur if an active trading market does not develop, among other reasons, would amplify the effect of the above factors on our share price volatility. Should the market price of our shares drop significantly, stockholders may institute securities class action lawsuits against us. A lawsuit against us could cause us to incur substantial costs and could divert the time and attention of our management and other resources.</w:t>
      </w:r>
    </w:p>
    <w:p>
      <w:pPr>
        <w:spacing w:after="0" w:line="185"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Substantial sales of shares of our common stock may occur in connection with the Spin-Off, or in the future, which could cause our share price to decline or be volatile.</w:t>
      </w:r>
    </w:p>
    <w:p>
      <w:pPr>
        <w:spacing w:after="0" w:line="15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AnaptysBio, Inc. stockholders receiving shares of our common stock in the Spin-Off may sell those shares immediately in the public market. It is likely that some AnaptysBio, Inc. stockholders, including some of its larger stockholders, will sell their shares of common stock received in the Spin-Off, for reasons such as, due to our business profile or market capitalization as an independent company, we do not fit their investment objectives. The sales of significant amounts of shares of our common stock or the perception in the market that such sales might occur may decrease the market price of a share of our common stock.</w:t>
      </w:r>
    </w:p>
    <w:p>
      <w:pPr>
        <w:spacing w:after="0" w:line="179" w:lineRule="exact"/>
        <w:rPr>
          <w:sz w:val="20"/>
          <w:szCs w:val="20"/>
          <w:color w:val="auto"/>
        </w:rPr>
      </w:pPr>
    </w:p>
    <w:p>
      <w:pPr>
        <w:ind w:left="120" w:right="5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market price of Biopharma Co. shares following completion of the transaction may be affected by factors different from those affecting AnaptysBio, Inc. shares prior to completion of the transaction.</w:t>
      </w:r>
    </w:p>
    <w:p>
      <w:pPr>
        <w:spacing w:after="0" w:line="15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results of operations of Biopharma Co. and the market price of the Biopharma Co. shares, after completion of the transaction, may be affected by factors – both those related to the Spin-Off and other general factors, some of which are beyond our control – different from those that previously affected the independent results of operations and the market prices of AnaptysBio, Inc. shares. Accordingly, the market price and performance of Biopharma Co. shares is likely to be different from the performance of AnaptysBio, Inc. shares in the absence of the transaction. The nature of our business and industry subject us, and our share price, to volatility. In addition, general fluctuations in stock markets or adverse factors in the biotechnology industry could have a material adverse effect on the market for, or liquidity of, Biopharma Co. shares, regardless of</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Biopharma Co.’s actual operating performance following the completion of the Spin-Off. Should the market price of our shares drop significantly, stockholders may institute securities class action lawsuits against us. A lawsuit against us could cause us to incur substantial costs and could divert the time and attention of our management and other resources.</w:t>
      </w:r>
    </w:p>
    <w:p>
      <w:pPr>
        <w:spacing w:after="0" w:line="172" w:lineRule="exact"/>
        <w:rPr>
          <w:sz w:val="20"/>
          <w:szCs w:val="20"/>
          <w:color w:val="auto"/>
        </w:rPr>
      </w:pPr>
    </w:p>
    <w:p>
      <w:pPr>
        <w:ind w:left="120" w:right="4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and will be able take advantage of reduced disclosure requirements applicable to “emerging growth companies,” which could make shares of our common stock less attractive to investors.</w:t>
      </w:r>
    </w:p>
    <w:p>
      <w:pPr>
        <w:spacing w:after="0" w:line="15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for as long as we continue to be an “emerging growth company,” we may take advantage of certain exemptions from various reporting requirements applicable to other public companies but not to “emerging growth companies.” These exemptions include, but are not limited to: not being required to comply with the auditor attestation requirements of Section 404(b) of the Sarbanes-Oxley Act, not being required to communicate critical audit matters in the auditor’s report, permission to present only two years of audited financial statements and only two years of related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 our periodic reports and registration statements, including in this information statement, reduced disclosure obligations regarding executive compensation in our periodic reports and proxy statements and exemptions from the requirements of holding a nonbinding stockholder advisory vote on executive compensation (e.g., “say-on-pay” and “say-on-frequency”) and any golden parachute payments not previously approved. In addition, under the JOBS Act, “emerging growth companies” can delay adopting new or revised accounting standards until such time as those standards apply to private companies. While we have elected to avail ourselves of this exemption, we are permitted and may elect to early adopt certain new or revised accounting standards for which the respective standard allows for early adoption. For as long as we take advantage of the reduced reporting obligations, the information that we provide stockholders may be different from information provided by other similarly situated public companies.</w:t>
      </w:r>
    </w:p>
    <w:p>
      <w:pPr>
        <w:spacing w:after="0" w:line="19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will be an “emerging growth company” until the earliest of (i) the last day of the first fiscal year in which our annual gross revenue equals or exceeds $1.235 billion; (ii) the date that we become a “large accelerated filer” as defined in Rule 12b-2 under the Exchange Act, with the market value of shares of our common stock held by non-affiliates equal to at least $700 million as of the last business day of our most recently completed second fiscal quarter; (iii) the last day of our fiscal year following the fifth anniversary of the date of the Spin-Off; and (iv) the date on which we have issued more than $1 billion in non-convertible debt during the preceding three-year period. We cannot predict if investors will find shares of our common stock less attractive if we choose to rely on these exemptions. If some investors find shares of our common stock less attractive as a result of any choices to reduce future disclosure, there may be a less active trading market for shares of our common stock, our stock price may decline or become more volatile and it may be difficult for us to raise capital if and when we need it.</w:t>
      </w:r>
    </w:p>
    <w:p>
      <w:pPr>
        <w:spacing w:after="0" w:line="188"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We are a smaller reporting company and may elect to comply with reduced public company reporting requirements applicable to smaller reporting companies, which could make shares of our common stock less attractive to investors.</w:t>
      </w:r>
    </w:p>
    <w:p>
      <w:pPr>
        <w:spacing w:after="0" w:line="15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meaning that we are not an investment company, an asset-backed issuer, or a majority-owned subsidiary of a parent company that is not a “smaller reporting company,” and have either: (i) a public float of less than $250 million as of our most recently completed second fiscal quarter or (ii) annual revenues of less than $100 million during the most recently completed fiscal year and (A) no public float or (B) a public float of less than $700 million as of our most recently completed second fiscal quarter. As a “smaller reporting company,” we will be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If some investors find shares of our common stock less attractive as a result of any choices to reduce future disclosure we may make, there may be a less active trading market for shares of our common stock and our stock price may be more volatile.</w:t>
      </w:r>
    </w:p>
    <w:p>
      <w:pPr>
        <w:spacing w:after="0" w:line="158"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requirements of being a public company may strain our resources, divert management’s attention, and affect our ability to attract and retain additional executive management and qualified board members.</w:t>
      </w:r>
    </w:p>
    <w:p>
      <w:pPr>
        <w:spacing w:after="0" w:line="15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and other expenses, and these expenses may increase even more after we are no longer an “emerging growth company” or a “smaller reporting company.” We will continue to be subject to the reporting requirements of the Exchange Act, the Sarbanes-Oxley Act, the Dodd-Frank Wall Street Reform and Consumer Protection Act of 2010 as well as rules adopted, and to be adopted, by the SEC and the Exchange. Our management and other personnel devote a substantial amount of time to these compliance initiatives. In addition, changing laws, regulations, and standards relating to corporate governance and public disclosure are creating uncertainty for public companies, increasing legal and financial compliance costs, and making some activities more time consuming. We intend to invest resources to comply with evolving laws, regulations, and standards, and this investment may result in general and administrative expenses and a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our Board committees or as executive officers. After we are no longer an “emerging growth company,” and can no longer take advantage of the reporting exemptions available to “emerging growth companies” as discussed above,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cannot predict or estimate the amount of additional costs we may incur as a result of becoming a public company or the timing and materiality of such costs.</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we will be required to maintain internal control over financial reporting and to report any material weaknesses in such internal control. Section 404 of the Sarbanes-Oxley Act requires that we evaluate and determine the effectiveness of our internal control over financial reporting, after a transition period, and provide a management report on our internal controls on an annual basis. If we have material weaknesses in our internal control over financial reporting, we may not detect errors on a timely basis and our financial statements may be materially misstated. We may require additional management and staff resources to comply, maintain and enhance the systems, processes and documentation necessary to comply with Section 404 of the Sarbanes-Oxley Act.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Regardless of compliance with Section 404 of the Sarbanes-Oxley Act,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90" w:lineRule="exact"/>
        <w:rPr>
          <w:sz w:val="20"/>
          <w:szCs w:val="20"/>
          <w:color w:val="auto"/>
        </w:rPr>
      </w:pPr>
    </w:p>
    <w:p>
      <w:pPr>
        <w:ind w:left="120" w:right="9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Public company reporting and internal control obligations may strain resources and increase the risk of material weaknesses, restatements, and adverse market impact.</w:t>
      </w:r>
    </w:p>
    <w:p>
      <w:pPr>
        <w:spacing w:after="0" w:line="15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As a public company, we will continue to be subject to significant requirements for enhanced financial reporting and internal controls. Effective internal control over financial reporting is necessary for us to provide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reliable financial reports and, together with adequate disclosure controls and procedures, is designed to prevent fraud. The process of designing and implementing effective internal controls is a continuous effort that requires us to anticipate and react to changes in our business and the economic and regulatory environment, and to expend significant resources to maintain a system of internal controls that is adequate to satisfy our reporting obligations as a public company. Any failure to implement required new or improved controls, or difficulties encountered in their implementation, could cause us to fail to meet our reporting obligations on a timely basis, result in material misstatements in our combined financial statements and harm our results of operations. In addition, we will be required, pursuant to Section 404(a) of the Sarbanes-Oxley Act, to furnish a report by management on, among other things, the effectiveness of our internal control over financial reporting in the second annual report following the completion of the Spin-Off.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w:t>
      </w:r>
    </w:p>
    <w:p>
      <w:pPr>
        <w:spacing w:after="0" w:line="19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audit the effectiveness of our internal control over financial reporting until after we are no longer an “emerging growth company,” as defined in the JOBS Act, which at the latest would be the end of the fiscal year following the fifth anniversary of the Spin-Off. At such time, our internal control over financial reporting may be insufficiently documented, designed or operating, which may cause our independent registered public accounting firm to issue a report that is adverse. Undetected material weaknesses in our internal control over financial reporting could lead to financial statement restatements and require us to incur the expense of remediation, which could have a negative effect on the trading price of our stock.</w:t>
      </w:r>
    </w:p>
    <w:p>
      <w:pPr>
        <w:spacing w:after="0" w:line="183"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maintain an effective system of internal control over financial reporting, we may not be able to accurately report our financial results or prevent fraud.</w:t>
      </w:r>
    </w:p>
    <w:p>
      <w:pPr>
        <w:spacing w:after="0" w:line="15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we fail to achieve and maintain an effective internal control environment, we could suffer material misstatements in our combined financial statements and fail to meet our reporting obligations, which would likely cause investors to lose confidence in our reported financial information. Additionally, ineffective internal control over financial reporting could expose us to increased risk of fraud or misuse of corporate assets and subject us to potential delisting from the Exchange, regulatory investigations, civil or criminal sanctions and litigation, any of which would have a material adverse effect on our business, results of operations and financial condition.</w:t>
      </w:r>
    </w:p>
    <w:p>
      <w:pPr>
        <w:spacing w:after="0" w:line="179"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Future sales and issuances of shares of our common stock or rights to purchase shares of our common stock, including pursuant to our equity incentive plans, could result in dilution of the percentage ownership of our stockholders and could cause our stock price to fall.</w:t>
      </w:r>
    </w:p>
    <w:p>
      <w:pPr>
        <w:spacing w:after="0" w:line="15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shares of common stock, convertible securities or other equity securities in one or more transactions at prices and in a manner we determine from time to time. If we sell shares of common stock, convertible securities or other equity securities, investors may be materially diluted by such sales. We will also register all shares of common stock that we may issue under our equity incentive plans or upon vesting of outstanding awards. These shares will be able to be freely sold in the public market upon issuance and once vested, subject to volume limitations applicable to affiliates. If any of these additional shares are sold, or if it is perceived that they will be sold, in the public market, the market price of shares of our common stock could decline. Such sales may also result in material dilution to our stockholders, and new investors could gain rights, preferences and privileges senior to the holders of shares of our common stock.</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7"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We have reserved approximately         shares for future grants under our Equity Incentive Plan. See “</w:t>
      </w:r>
      <w:r>
        <w:rPr>
          <w:rFonts w:ascii="Times New Roman" w:cs="Times New Roman" w:eastAsia="Times New Roman" w:hAnsi="Times New Roman"/>
          <w:sz w:val="18"/>
          <w:szCs w:val="18"/>
          <w:i w:val="1"/>
          <w:iCs w:val="1"/>
          <w:color w:val="auto"/>
        </w:rPr>
        <w:t>Executive and Director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Anticipated Compensation Program Design Following the Spin-Off</w:t>
      </w:r>
      <w:r>
        <w:rPr>
          <w:rFonts w:ascii="Times New Roman" w:cs="Times New Roman" w:eastAsia="Times New Roman" w:hAnsi="Times New Roman"/>
          <w:sz w:val="18"/>
          <w:szCs w:val="18"/>
          <w:color w:val="auto"/>
        </w:rPr>
        <w:t>.” Any shares of common stock that we issue, including under our Equity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or other equity incentive plans that we may adopt in the future, would dilute the percentage ownership held by our stockholders.</w:t>
      </w:r>
    </w:p>
    <w:p>
      <w:pPr>
        <w:spacing w:after="0" w:line="171" w:lineRule="exact"/>
        <w:rPr>
          <w:sz w:val="20"/>
          <w:szCs w:val="20"/>
          <w:color w:val="auto"/>
        </w:rPr>
      </w:pPr>
    </w:p>
    <w:p>
      <w:pPr>
        <w:ind w:left="120" w:right="9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Our restated certificate of incorporation will contain a provision renouncing our interest and expectancy in certain corporate opportunities.</w:t>
      </w:r>
    </w:p>
    <w:p>
      <w:pPr>
        <w:spacing w:after="0" w:line="15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our restated certificate of incorporation, AnaptysBio, Inc., its affiliates and its officers, directors, principals, partners, members, managers, employees, agents or other representatives will not have a duty to refrain from engaging, directly or indirectly, in the same business activities, similar business activities, or lines of business in which we operate. Under our restated certificate of incorporation, AnaptysBio, Inc., its affiliates and its officers, directors, principals, partners, members, managers, employees, agents or other representatives will have the right to invest in, or provide services to, any person that is engaged in the same or similar business activities as us or our affiliates or directly or indirectly competes with us or any of our affiliates. In addition, our restated certificate of incorporation provides that, to the fullest extent permitted by law, no officer or director of ours who is also an officer, director, principal, partner, member, manager, employee, agent, or other representative of AnaptysBio, Inc. and its affiliates will be liable to us or our stockholders for breach of any fiduciary duty by reason of the fact that any such individual directs a corporate opportunity to AnaptysBio, Inc. and its affiliates and representatives, instead of us, or does not communicate information regarding a corporate opportunity to us that such individual has directed to AnaptysBio, Inc. and its affiliates and representatives. For instance, a director of our company who also serves as a director, officer or employee of AnaptysBio, Inc. or its affiliates may pursue certain acquisitions or other opportunities that may be complementary to our business and, as a result, such acquisition or other opportunities may not be available to us. These potential conflicts of interest could have a material and adverse effect on our business, financial condition, results of operations or prospects if attractive corporate opportunities are allocated by AnaptysBio, Inc. to itself, the portfolio companies owned by such funds or any of their affiliates instead of to us. As a result, we may be precluded from pursuing certain growth initiatives, which could adversely affect our business and results of operations. A description of our obligations related to corporate opportunities under our restated certificate of incorporation is contained in “</w:t>
      </w:r>
      <w:r>
        <w:rPr>
          <w:rFonts w:ascii="Times New Roman" w:cs="Times New Roman" w:eastAsia="Times New Roman" w:hAnsi="Times New Roman"/>
          <w:sz w:val="18"/>
          <w:szCs w:val="18"/>
          <w:i w:val="1"/>
          <w:iCs w:val="1"/>
          <w:color w:val="auto"/>
        </w:rPr>
        <w:t>Description of Capital Stock—Conflicts of Interest;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Opportunities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Our disclosure controls and procedures may not prevent or detect all errors or acts of fraud.</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will be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6"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 public market currently exists for our common stock and there can be no assurances that a viable public market for shares of our common stock will develop or be sustained.</w:t>
      </w:r>
    </w:p>
    <w:p>
      <w:pPr>
        <w:spacing w:after="0" w:line="15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Immediately prior to the Spin-Off, shares of our common stock was not traded on any market. An active, liquid and orderly trading market for shares of our common stock may not develop or be maintained after the Spin-Off. Active, liquid and orderly trading markets usually result in less price volatility and more efficiency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carrying out investors’ purchase and sale orders. We cannot predict the extent to which investor interest in shares of our common stock will lead to the development of an active trading market on the Exchange or otherwise, or how liquid that market might become. If an active public market for shares of our common stock does not develop, or is not sustained, or if the market price of shares of our common stock declines, it may be difficult for you to sell your shares at a price that is attractive to you or at all.</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We do not intend to pay dividends on shares of our common stock, so any returns will be limited to the value of our stock.</w:t>
      </w:r>
    </w:p>
    <w:p>
      <w:pPr>
        <w:spacing w:after="0" w:line="229"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do not anticipate that we will declare or pay any cash dividend on shares of our common stock. We currently anticipate that we will retain future earnings for the development, operation and expansion of our business and do not anticipate declaring or paying any cash dividends for the foreseeable future. Any return to stockholders would therefore be limited to the appreciation of their stock.</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Our cash and investments could be adversely affected if the financial institutions in which we hold our cash and investments fail.</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regularly maintain cash balances at third-party financial institutions in excess of the Federal Deposit Insurance Corporation insurance limit. Further, if we enter into a credit, loan or other similar facility with a financial institution, certain covenants included in such facility may require as security that we keep a significant portion of our cash with the institution providing such facility. If a depository institution where we maintain deposits fails or is subject to adverse conditions in the financial or credit markets, we may not be able to recover all, if any, of our deposits, which could adversely impact our operating liquidity and financial performance.</w:t>
      </w:r>
    </w:p>
    <w:p>
      <w:pPr>
        <w:spacing w:after="0" w:line="179"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Provisions in our restated certificate of incorporation and restated bylaws and Delaware law might discourage, delay or prevent a change in control of our company or changes in our management and, therefore, depress the market price of shares of our common stock.</w:t>
      </w:r>
    </w:p>
    <w:p>
      <w:pPr>
        <w:spacing w:after="0" w:line="15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contain provisions that could depress the market price of shares of our common stock by acting to discourage, delay or prevent a change in control of our company or changes in our management that the stockholders of our company may deem advantageous. These provisions, among other things, will:</w:t>
      </w:r>
    </w:p>
    <w:p>
      <w:pPr>
        <w:spacing w:after="0" w:line="81"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so that not all members of our Board are elected at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to establish the number of directors and fill vacancies on the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restated bylaws;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 (also known as a “poison pill”);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jc w:val="both"/>
        <w:ind w:left="120" w:right="240" w:firstLine="440"/>
        <w:spacing w:after="0" w:line="312" w:lineRule="auto"/>
        <w:rPr>
          <w:sz w:val="20"/>
          <w:szCs w:val="20"/>
          <w:color w:val="auto"/>
        </w:rPr>
      </w:pPr>
      <w:r>
        <w:rPr>
          <w:rFonts w:ascii="Times New Roman" w:cs="Times New Roman" w:eastAsia="Times New Roman" w:hAnsi="Times New Roman"/>
          <w:sz w:val="17"/>
          <w:szCs w:val="17"/>
          <w:color w:val="auto"/>
        </w:rPr>
        <w:t>In addition, Section 203 of the DGCL may discourage, delay or prevent a change in control of our company. Section 203 of the DGCL imposes certain restrictions on mergers, business combinations and other transactions between us and holders of 15% or more of shares of our common stock.</w:t>
      </w:r>
    </w:p>
    <w:p>
      <w:pPr>
        <w:spacing w:after="0" w:line="136"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w:t>
      </w:r>
    </w:p>
    <w:p>
      <w:pPr>
        <w:spacing w:after="0" w:line="17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restated certificate of incorporation, to the fullest extent permitted by law, will provide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that is governed by the internal affairs doctrine. This exclusive forum provision will not apply to suits brought to enforce a duty or liability created by the Securities Exchange Act of 1934, as amended, or Exchange Act. It could apply, however, to a suit that falls within one or more of the categories enumerated in the exclusive forum provision.</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financial condition, results of operations and prospects.</w:t>
      </w:r>
    </w:p>
    <w:p>
      <w:pPr>
        <w:spacing w:after="0" w:line="18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Our restated bylaws will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an offering of our securities.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spacing w:after="0" w:line="19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for a stockholder to bring such a claim, in a judicial forum of their choosing for disputes with us or our directors, officers, other employees or agents, which may discourage lawsuits against us and our directors, officers, other employees or agents.</w:t>
      </w:r>
    </w:p>
    <w:p>
      <w:pPr>
        <w:spacing w:after="0" w:line="158"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15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trading market for shares of our common stock will be influenced by the research and reports that industry or securities analysts publish about us or our business. If any of the analysts who will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7"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color w:val="auto"/>
        </w:rPr>
        <w:t>This information statement, including the sections entitled “</w:t>
      </w:r>
      <w:r>
        <w:rPr>
          <w:rFonts w:ascii="Times New Roman" w:cs="Times New Roman" w:eastAsia="Times New Roman" w:hAnsi="Times New Roman"/>
          <w:sz w:val="18"/>
          <w:szCs w:val="18"/>
          <w:i w:val="1"/>
          <w:iCs w:val="1"/>
          <w:color w:val="auto"/>
        </w:rPr>
        <w:t>Information Statement Summary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contains forward-looking statements. The words “believe,” “may,”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“potentially,” “estimate,” “continue,” “anticipate,” “intend,” “could,” “would,” “project,” “plan” and “expect,” and similar expressions that convey uncertainty of future events or outcomes, are intended to identify forward-looking statements. All statements other than statements of historical facts contained in this information statement, including statements regarding our strategy, future operations, future financial position, future revenue, projected costs, prospects, plans, objectives of management and expected market growth are forward-looking statements.</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forward-looking statements in this information statement include, among other things, statements about:</w:t>
      </w:r>
    </w:p>
    <w:p>
      <w:pPr>
        <w:spacing w:after="0" w:line="131"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candidate development activities and ongoing and planned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develop and commercialize antibodies;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the clinical data generated in any study we performed, are performing, or plan to perform in a non-U.S. jurisdiction will be subsequently accepted by the FDA and/or by foreign regulatory authorities outside of the jurisdiction where the study was being performed;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and advantages of our product candidates and approaches versus those of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ability to obtain and maintain regulatory approvals for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any approved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any approved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political, economic or public health events on our business and the U.S. and global economies;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macroeconomic factors, including volatility in equity markets, and fluctuations in interest rates, foreign exchange rates and political and regulatory developments or changes in trade policy, including tariffs;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on favorable terms or at all, including funding necessary to complete further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Spin-Off from AnaptysBio, Inc., into two independent, publicly traded companies, including the completion and timing of the Spin-Off, the business and operations of each company and any benefits or costs of the Spin-Off;</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significant volatility in our stock price or an active trading market for shares of our common stock not developing or being sustained;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223"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information statement. Moreover, we operate in a</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00"/>
          </w:cols>
          <w:pgMar w:left="320" w:top="455" w:right="4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information statement may not occur and actual results could differ materially and adversely from those anticipated or implied in the forward-looking statements.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information statement to conform these statements to actual results or to changes in our expectations, except as required by law.</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this information statement and the documents that we reference in this information statement and have filed with the SEC as exhibits to the registration statement of which this information statement is a part with the understanding that our actual future results, levels of activity, performance, and events and circumstances may be materially different from what we expect.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80"/>
          </w:cols>
          <w:pgMar w:left="320" w:top="455" w:right="4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SPIN-OFF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September 29, 2025, AnaptysBio, Inc. announced its intention to separate into two standalone, publicly traded companies. AnaptysBio, Inc. has determined to implement this separation through the spin-off of AnaptysBio, Inc.’s Biopharma Co. Business to its stockholders. In the furtherance of that goal, the AnaptysBio, Inc. Board approved the confidential submission to the SEC of the registration statement on Form 10 of which this information statement forms a part.</w:t>
      </w:r>
    </w:p>
    <w:p>
      <w:pPr>
        <w:spacing w:after="0" w:line="180"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 2026, the AnaptysBio, Inc. Board approved the distribution of all of the issued and outstanding shares of Biopharma Co. common stock, on the basis of one share of Biopharma Co. common stock for every         shares of AnaptysBio, Inc. common stock held as of the close of business on the Record Date of         .</w:t>
      </w:r>
    </w:p>
    <w:p>
      <w:pPr>
        <w:spacing w:after="0" w:line="176"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On         , the Distribution Date, each AnaptysBio, Inc. stockholder will receive one share of common stock of Biopharma Co. for every         shares of AnaptysBio, Inc. common stock held at close of business on the Record Date. Following the Spin-Off, we will operate</w:t>
      </w:r>
    </w:p>
    <w:p>
      <w:pPr>
        <w:ind w:left="120" w:right="400"/>
        <w:spacing w:after="0" w:line="260" w:lineRule="auto"/>
        <w:rPr>
          <w:sz w:val="20"/>
          <w:szCs w:val="20"/>
          <w:color w:val="auto"/>
        </w:rPr>
      </w:pPr>
      <w:r>
        <w:rPr>
          <w:rFonts w:ascii="Times New Roman" w:cs="Times New Roman" w:eastAsia="Times New Roman" w:hAnsi="Times New Roman"/>
          <w:sz w:val="18"/>
          <w:szCs w:val="18"/>
          <w:color w:val="auto"/>
        </w:rPr>
        <w:t>independently from AnaptysBio, Inc. No approval of AnaptysBio, Inc.’s stockholders is required in connection with the Spin-Off, and AnaptysBio, Inc.’s stockholders will not have any appraisal rights in connection with the Spin-Off.</w:t>
      </w:r>
    </w:p>
    <w:p>
      <w:pPr>
        <w:spacing w:after="0" w:line="18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Completion of the Spin-Off is subject to the satisfaction, or the AnaptysBio, Inc. Board’s waiver, to the extent permitted by law, of a number of conditions. In addition, AnaptysBio, Inc. may at any time until the Spin-Off decide to abandon the Spin-Off or modify or change the terms of the Spin-Off. For a more detailed discussion, see “ </w:t>
      </w:r>
      <w:r>
        <w:rPr>
          <w:rFonts w:ascii="Times New Roman" w:cs="Times New Roman" w:eastAsia="Times New Roman" w:hAnsi="Times New Roman"/>
          <w:sz w:val="18"/>
          <w:szCs w:val="18"/>
          <w:i w:val="1"/>
          <w:iCs w:val="1"/>
          <w:color w:val="auto"/>
        </w:rPr>
        <w:t>—Conditions to the Spin-Off</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Reasons for the Spin-Off</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AnaptysBio, Inc. Board determined upon careful review and consideration, including of the agreements relating to the Spin-Off, that the separation of Biopharma Co. from the rest of AnaptysBio, Inc. and the establishment of Biopharma Co. as a separate, publicly traded company was in the best interests of AnaptysBio, Inc.</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AnaptysBio, Inc. Board periodically reviews AnaptysBio, Inc.’s business portfolio and capital allocation options, with the goal of enhancing stockholder value. In reaching the decision to create two independent public companies, the AnaptysBio, Inc. Board considered strategic alternatives for Biopharma Co. and concluded that the creation of two independent public companies was advisable and in the best interests of AnaptysBio, Inc. As part of this evaluation, AnaptysBio, Inc. considered a number of factors, including the strategic focus and flexibility for AnaptysBio, Inc. and Biopharma Co. after the Spin-Off, the ability of Biopharma Co. to compete and operate efficiently and effectively after the Spin-Off, the financial profiles of AnaptysBio, Inc. and Biopharma Co. and the potential different investor bases of Biopharma Co. and AnaptysBio, Inc.</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a result of this evaluation, the AnaptysBio, Inc. Board believes that separating the Biopharma Co. Business from the remainder of AnaptysBio, Inc. is in the best interest of AnaptysBio, Inc. for a number of reasons, including:</w:t>
      </w:r>
    </w:p>
    <w:p>
      <w:pPr>
        <w:spacing w:after="0" w:line="65" w:lineRule="exact"/>
        <w:rPr>
          <w:sz w:val="20"/>
          <w:szCs w:val="20"/>
          <w:color w:val="auto"/>
        </w:rPr>
      </w:pPr>
    </w:p>
    <w:p>
      <w:pPr>
        <w:jc w:val="both"/>
        <w:ind w:left="1080" w:right="60" w:hanging="424"/>
        <w:spacing w:after="0" w:line="261"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Strategic Focus. </w:t>
      </w:r>
      <w:r>
        <w:rPr>
          <w:rFonts w:ascii="Times New Roman" w:cs="Times New Roman" w:eastAsia="Times New Roman" w:hAnsi="Times New Roman"/>
          <w:sz w:val="18"/>
          <w:szCs w:val="18"/>
          <w:color w:val="auto"/>
        </w:rPr>
        <w:t>The separation will allow each of Biopharma Co. and AnaptysBio, Inc. to focus on their distinctive set of assets,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objectives and unique opportunities for long-term growth and profitability and to tailor capital and corporate resources to each company’s distinct operating and financial objectives. Specifically, AnaptysBio, Inc. will pursue a strategy of managing the rights to the dostarlimab royalties from the GSK Collaboration and imsidolimab royalties from the Vanda</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100"/>
        <w:spacing w:after="0" w:line="266" w:lineRule="auto"/>
        <w:rPr>
          <w:sz w:val="20"/>
          <w:szCs w:val="20"/>
          <w:color w:val="auto"/>
        </w:rPr>
      </w:pPr>
      <w:r>
        <w:rPr>
          <w:rFonts w:ascii="Times New Roman" w:cs="Times New Roman" w:eastAsia="Times New Roman" w:hAnsi="Times New Roman"/>
          <w:sz w:val="18"/>
          <w:szCs w:val="18"/>
          <w:color w:val="auto"/>
        </w:rPr>
        <w:t>Collaboration, with a focus on protecting and returning the value of the royalties to AnaptysBio, Inc. stockholders. Biopharma Co. will pursue a strategy of clinical-stage biotechnology product development and potential commercialization, focused on innovative therapeutics for autoimmune and inflammatory diseases, including rosnilimab, ANB033 and ANB101.</w:t>
      </w:r>
    </w:p>
    <w:p>
      <w:pPr>
        <w:spacing w:after="0" w:line="79" w:lineRule="exact"/>
        <w:rPr>
          <w:sz w:val="20"/>
          <w:szCs w:val="20"/>
          <w:color w:val="auto"/>
        </w:rPr>
      </w:pPr>
    </w:p>
    <w:p>
      <w:pPr>
        <w:ind w:left="1080" w:right="340" w:hanging="424"/>
        <w:spacing w:after="0" w:line="284"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Strategic Flexibility. </w:t>
      </w:r>
      <w:r>
        <w:rPr>
          <w:rFonts w:ascii="Times New Roman" w:cs="Times New Roman" w:eastAsia="Times New Roman" w:hAnsi="Times New Roman"/>
          <w:sz w:val="18"/>
          <w:szCs w:val="18"/>
          <w:color w:val="auto"/>
        </w:rPr>
        <w:t>The separation will provide each company with increased flexibility to pursue independent strategic and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without considering competing priorities of the other business.</w:t>
      </w:r>
    </w:p>
    <w:p>
      <w:pPr>
        <w:spacing w:after="0" w:line="63" w:lineRule="exact"/>
        <w:rPr>
          <w:rFonts w:ascii="Times New Roman" w:cs="Times New Roman" w:eastAsia="Times New Roman" w:hAnsi="Times New Roman"/>
          <w:sz w:val="18"/>
          <w:szCs w:val="18"/>
          <w:color w:val="auto"/>
        </w:rPr>
      </w:pPr>
    </w:p>
    <w:p>
      <w:pPr>
        <w:ind w:left="1080" w:right="40" w:hanging="424"/>
        <w:spacing w:after="0" w:line="267"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Allocation. </w:t>
      </w:r>
      <w:r>
        <w:rPr>
          <w:rFonts w:ascii="Times New Roman" w:cs="Times New Roman" w:eastAsia="Times New Roman" w:hAnsi="Times New Roman"/>
          <w:sz w:val="18"/>
          <w:szCs w:val="18"/>
          <w:color w:val="auto"/>
        </w:rPr>
        <w:t>The separation will enable each of Biopharma Co. and AnaptysBio, Inc. to create independent capital structures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afford each company direct access to the capital markets to tailor capital allocation priorities to their respective strategies and business needs.</w:t>
      </w:r>
    </w:p>
    <w:p>
      <w:pPr>
        <w:spacing w:after="0" w:line="78" w:lineRule="exact"/>
        <w:rPr>
          <w:rFonts w:ascii="Times New Roman" w:cs="Times New Roman" w:eastAsia="Times New Roman" w:hAnsi="Times New Roman"/>
          <w:sz w:val="18"/>
          <w:szCs w:val="18"/>
          <w:color w:val="auto"/>
        </w:rPr>
      </w:pPr>
    </w:p>
    <w:p>
      <w:pPr>
        <w:ind w:left="1080" w:right="280" w:hanging="424"/>
        <w:spacing w:after="0" w:line="284"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Investor Choice. </w:t>
      </w:r>
      <w:r>
        <w:rPr>
          <w:rFonts w:ascii="Times New Roman" w:cs="Times New Roman" w:eastAsia="Times New Roman" w:hAnsi="Times New Roman"/>
          <w:sz w:val="18"/>
          <w:szCs w:val="18"/>
          <w:color w:val="auto"/>
        </w:rPr>
        <w:t>The separation will allow investors to evaluate the separate investment characteristics of each company and align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philosophies and portfolio allocation with the strategic opportunities and financial objectives of each company.</w:t>
      </w:r>
    </w:p>
    <w:p>
      <w:pPr>
        <w:spacing w:after="0" w:line="16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anticipated benefits of the Spin-Off are based on a number of assumptions, and there can be no assurance that such benefits will materialize to the extent anticipated, or at all. In the event the Spin-Off does not result in such benefits, the costs associated with the Spin-Off could have a material adverse effect on each company individually and in the aggregate.</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distribution of shares of our common stock as described in this information statement is subject to the satisfaction or waiver of certain conditions. We cannot provide any assurances that the Spin-Off will be completed. For a more detailed description of these conditions, see the section entitled “ —</w:t>
      </w:r>
      <w:r>
        <w:rPr>
          <w:rFonts w:ascii="Times New Roman" w:cs="Times New Roman" w:eastAsia="Times New Roman" w:hAnsi="Times New Roman"/>
          <w:sz w:val="18"/>
          <w:szCs w:val="18"/>
          <w:i w:val="1"/>
          <w:iCs w:val="1"/>
          <w:color w:val="auto"/>
        </w:rPr>
        <w:t>Conditions to the Spin-Off</w:t>
      </w:r>
      <w:r>
        <w:rPr>
          <w:rFonts w:ascii="Times New Roman" w:cs="Times New Roman" w:eastAsia="Times New Roman" w:hAnsi="Times New Roman"/>
          <w:sz w:val="18"/>
          <w:szCs w:val="18"/>
          <w:color w:val="auto"/>
        </w:rPr>
        <w:t>” below.</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When and How You Will Receive Our Shares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On or prior to the Distribution Date, AnaptysBio, Inc. will deliver all of the issued and outstanding shares of Biopharma Co. common stock to the Distribution Agent. Equiniti Trust Company, LLC will serve as Distribution Agent in connection with the Spin-Off and as transfer agent and registrar for shares of our common stock. On or as soon as practicable following the Distribution Date, the Distribution Agent will electronically deliver the shares of Biopharma Co. common stock to AnaptysBio, Inc. stockholders based on the distribution ratio.</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you own shares of AnaptysBio, Inc. common stock as of the close of business on the Record Date, and you retain your entitlement to receive shares of Biopharma Co. common stock through the Distribution Date, the shares of Biopharma Co. common stock that you are entitled to receive in the Spin-Off will be issued to your account as follows:</w:t>
      </w:r>
    </w:p>
    <w:p>
      <w:pPr>
        <w:spacing w:after="0" w:line="77" w:lineRule="exact"/>
        <w:rPr>
          <w:sz w:val="20"/>
          <w:szCs w:val="20"/>
          <w:color w:val="auto"/>
        </w:rPr>
      </w:pPr>
    </w:p>
    <w:p>
      <w:pPr>
        <w:ind w:left="1080" w:hanging="424"/>
        <w:spacing w:after="0" w:line="26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Registered stockholders</w:t>
      </w:r>
      <w:r>
        <w:rPr>
          <w:rFonts w:ascii="Times New Roman" w:cs="Times New Roman" w:eastAsia="Times New Roman" w:hAnsi="Times New Roman"/>
          <w:sz w:val="18"/>
          <w:szCs w:val="18"/>
          <w:color w:val="auto"/>
        </w:rPr>
        <w:t>. If you own your shares of AnaptysBio, Inc. common stock directly through AnaptysBio, Inc.’s transfer agent, you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a registered stockholder. In this case, the Distribution Agent will credit the whole shares of our common stock you receive in the Spin-Off by way of direct registration in book-entry form to a new account with our transfer agent. Registration in book-entry form refers to a method of recording share ownership where no physical stock certificates are issued to stockholders, as is the case in the Spin-Off.</w:t>
      </w:r>
    </w:p>
    <w:p>
      <w:pPr>
        <w:spacing w:after="0" w:line="81" w:lineRule="exact"/>
        <w:rPr>
          <w:rFonts w:ascii="Times New Roman" w:cs="Times New Roman" w:eastAsia="Times New Roman" w:hAnsi="Times New Roman"/>
          <w:sz w:val="18"/>
          <w:szCs w:val="18"/>
          <w:color w:val="auto"/>
        </w:rPr>
      </w:pPr>
    </w:p>
    <w:p>
      <w:pPr>
        <w:ind w:left="1080" w:right="40" w:hanging="424"/>
        <w:spacing w:after="0" w:line="259"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“Street name” or beneficial stockholders</w:t>
      </w:r>
      <w:r>
        <w:rPr>
          <w:rFonts w:ascii="Times New Roman" w:cs="Times New Roman" w:eastAsia="Times New Roman" w:hAnsi="Times New Roman"/>
          <w:sz w:val="18"/>
          <w:szCs w:val="18"/>
          <w:color w:val="auto"/>
        </w:rPr>
        <w:t>. If you own your shares of AnaptysBio, Inc. common stock beneficially through a bank, broker,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other nominee, the bank, broker, or other nominee holds the shares in “street name” and records your ownership on its books. In this case, your bank, broker, or other nominee will credit your account with the whole shares of Biopharma Co. common stock that you receive in the Spin-Off on or shortly after the Distribution Date. We encourage you to contact your bank, broker, or other nominee if you have any questions concerning the mechanics of having shares held in “street name.”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If you sell any of your shares of AnaptysBio, Inc. common stock after the Record Date but on or before the Distribution Date, the buyer of those shares, rather than you, may in some circumstances be entitled to receive the shares of Biopharma Co. common stock to be distributed in respect of the AnaptysBio, Inc. shares you sold.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Trading Prior to the Distribution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not asking AnaptysBio, Inc. stockholders to take any action in connection with the Spin-Off. We are not asking you for a proxy and request that you not send us a proxy. We are also not asking you to make any payment or surrender or exchange any of your shares of AnaptysBio, Inc. common stock for shares of Biopharma Co. common stock. The number of outstanding shares of AnaptysBio, Inc. common stock will not change as a result of the Spin-Off.</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Treatment of Fractional Shares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Distribution Agent will not distribute any fractional shares of Biopharma Co. common stock in connection with the Spin-Off. Instead, the Distribution Agent will aggregate all fractional shares of common stock into whole shares and sell the whole shares in the open market at prevailing market prices on behalf of AnaptysBio, Inc. stockholders entitled to receive a fractional share of common stock. The Distribution Agent will then distribute the aggregate cash proceeds of the sales, net of brokerage fees, transfer taxes, and other costs, pro rata to these holders (net of any required withholding for taxes applicable to each holder). The Distribution Agent will, in its sole discretion, without any influence by AnaptysBio, Inc. or us, determine when, how, through which broker-dealer, and at what price to sell the whole shares. The Distribution Agent is not, and any broker-dealer used by the Distribution Agent will not be, an affiliate of either AnaptysBio, Inc. or us.</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Distribution Agent will send to each registered holder of shares of AnaptysBio, Inc. common stock entitled to a fractional share of common stock a check in the cash amount deliverable in lieu of that holder’s fractional share of common stock as soon as practicable following the Distribution Date. We expect the Distribution Agent to take about two weeks after the Distribution Date to complete the distribution of cash in lieu of fractional shares of common stock to AnaptysBio, Inc. stockholders. If you hold your shares of common stock through a bank, broker, or other nominee, your bank, broker, or nominee will receive, on your behalf, your pro rata share of the aggregate net cash proceeds of the sales. No interest will be paid on any cash you receive in lieu of a fractional share of common stock. The cash you receive in lieu of a fractional share will generally be taxable to you for U.S. federal income tax purposes. See “</w:t>
      </w:r>
      <w:r>
        <w:rPr>
          <w:rFonts w:ascii="Times New Roman" w:cs="Times New Roman" w:eastAsia="Times New Roman" w:hAnsi="Times New Roman"/>
          <w:sz w:val="18"/>
          <w:szCs w:val="18"/>
          <w:i w:val="1"/>
          <w:iCs w:val="1"/>
          <w:color w:val="auto"/>
        </w:rPr>
        <w:t>Material U.S. Federal Income Tax Consequences of the Spin-Off</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Results of the Spin-Off</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the Spin-Off, we will be an independent, publicly traded company. Immediately following the Spin-Off, we expect to have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approximately            shares of common stock outstanding, based on the number of shares of AnaptysBio, Inc. common stock outstanding</w:t>
      </w:r>
    </w:p>
    <w:p>
      <w:pPr>
        <w:spacing w:after="0" w:line="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on        , 2026. The actual number of shares of Biopharma Co. common stock that AnaptysBio, Inc. will distribute in the Spin-Off will depend on the actual number of shares of AnaptysBio, Inc. common stock outstanding on the Record Date, which will reflect any issuance of new shares, vesting, exercise or conversion of equity awards pursuant to AnaptysBio, Inc.’s equity plans, and any repurchase of AnaptysBio, Inc. shares of common stock by AnaptysBio, Inc. under its share repurchase program, on or prior to the Record Date. Shares of AnaptysBio, Inc. common stock held by AnaptysBio, Inc. as treasury shares will not be considered outstanding for purposes of, and will not be entitled to participate in, the Spin-Off. The Spin-Off will not affect the number of outstanding shares of AnaptysBio, Inc. common stock or any rights of AnaptysBio, Inc. stockholders. However, following the Spin-Off, the equity value of AnaptysBio, Inc. will no longer reflect the value of the Biopharma Co. Business.</w:t>
      </w:r>
    </w:p>
    <w:p>
      <w:pPr>
        <w:spacing w:after="0" w:line="188"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Before our separation from AnaptysBio, Inc., we intend to enter into a Separation and Distribution Agreement and a Transition Services Agreement with AnaptysBio, Inc. related to the Spin-Off. These agreements will govern the relationship between us and AnaptysBio, Inc. up to and after completion of the Spin-Off and allocate between us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and AnaptysBio, Inc. various assets, liabilities, rights and obligations, including employee benefits, intellectual property and tax-related assets and liabilities. We describe these arrangements in greater detail under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Agreements to be Entered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Into in Connection with the Spin-Off</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Separation and Distribution Agreement</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Below is a summary of the material terms of the Separation and Distribution Agreement. The description of the Separation and Distribution Agreement in this section and elsewhere in this information statement is qualified in its entirety by reference to the complete text of the Separation and Distribution Agreement, a copy of which will be attached as Exhibit 10.1 to the registration statement on Form 10 of which this information statement forms a part and is incorporated by reference into this information statement. This summary does not purport to be complete and may not contain all of the information about the Separation and Distribution Agreement that is important to you. We encourage you to read the Separation and Distribution Agreement carefully and in its entirety.</w:t>
      </w:r>
    </w:p>
    <w:p>
      <w:pPr>
        <w:spacing w:after="0" w:line="187"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color w:val="auto"/>
        </w:rPr>
        <w:t>The Separation and Distribution Agreement and this summary of its terms are included to provide you with information regarding its terms. Factual disclosures about AnaptysBio, Inc. contained in this information statement or in AnaptysBio, Inc.’s public reports filed with the SEC may supplement, update or modify the factual disclosures about the Royalty Management Co. Business contained in the Separation and Distribution Agreement.</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AnaptysBio, Inc. will consummate the distribution of all of the shares of Biopharma Co. common stock on a pro rata basis to the holders of shares of AnaptysBio, Inc.’s common stock. Prior to the distribution, AnaptysBio, Inc. will consummate or cause to be consummated certain restructuring transactions.</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Among other things, the Separation and Distribution Agreement specifies which assets of AnaptysBio, Inc. are to be transferred to, and which liabilities of AnaptysBio, Inc. are to be assumed by, Biopharma Co. and sets forth when and how these transfers and assumptions will occur. The Separation and Distribution Agreement also includes procedures by which AnaptysBio, Inc. and Biopharma Co. will become separate and independent companies (subject to the Transition Services Agreement). The matters addressed by the Separation and Distribution Agreement include the matters described below.</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Transfer of Assets and Assumption of Liabilities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Separation and Distribution Agreement identifies the assets to be transferred to (including the contracts to be assigned) or retained by, and the liabilities to be assumed or retained by, each of the Royalty Management Co. Business and Biopharma Co., and it provides for when and how these transfers, assumptions and assignments will occur. For the purpose of the Separation and Distribution Agreement, and subject to terms of and any exceptions set forth in the Separation and Distribution Agreement, the assets consist of all right, title and ownership interests in and to all assets, properties, claims, information generated for the business, intellectual property, contracts and rights (including goodwill), wherever located (including in the possession of vendors or other third parties or elsewhere on behalf of a person or entity), of every kind, character and description, whether real, personal or mixed, tangible or intangible, whether accrued or contingent, in each case whether or not received, recorded or reflected or required to be recorded or reflected on the books and records or financial statements of any person or entity, including rights and benefits pursuant to any contract, license, permit, indenture, note, bond, mortgage, agreement, concession, franchise, instrument, undertaking, commitment, understanding or other arrangement. Liabilities consist of any and all debts, guarantees, assurances, commitments, losses, remediation, deficiencies, penalties, settlements, sanctions, costs, expenses, interest and obligations, whether accrued or fixed, absolute or contingent, matured or unmatured, known or unknown, reserved or unreserved, or determined or determinable, including those arising under any law (including environmental laws), proceeding, whether asserted or unasserted, or order, writ, judgment, injunction, decree, stipulation, determination or award entered by or with any governmental authority and those</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00"/>
          </w:cols>
          <w:pgMar w:left="320" w:top="455"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arising under any contract, agreement, obligation, indenture, instrument, lease, promise, arrangement, release, warranty, commitment or undertaking or any fines, damages or equitable relief which may be imposed and including all costs and expenses related thereto.</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Generally, following the Spin-Off, AnaptysBio, Inc. will own, assume or retain those assets and liabilities primarily related to the Royalty Management Co. Business, and all liabilities incurred by AnaptysBio, Inc. prior to the separation date, and Biopharma Co. will own, assume or retain those assets primarily related to everything other than the Royalty Management Co. Business and liabilities that are incurred after the separation date primarily related to everything other than the Royalty Management Co. Business.</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particular, the Separation and Distribution Agreement provides that subject to the terms and conditions contained therein, the following assets will generally be retained by or transferred to Biopharma Co., subject to certain exceptions:</w:t>
      </w:r>
    </w:p>
    <w:p>
      <w:pPr>
        <w:spacing w:after="0" w:line="67"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Biopharma Co. name and marks and any goodwill and common law rights thereto;</w:t>
      </w:r>
    </w:p>
    <w:p>
      <w:pPr>
        <w:spacing w:after="0" w:line="131" w:lineRule="exact"/>
        <w:rPr>
          <w:sz w:val="20"/>
          <w:szCs w:val="20"/>
          <w:color w:val="auto"/>
        </w:rPr>
      </w:pPr>
    </w:p>
    <w:p>
      <w:pPr>
        <w:ind w:left="660"/>
        <w:spacing w:after="0"/>
        <w:tabs>
          <w:tab w:leader="none" w:pos="1060" w:val="left"/>
          <w:tab w:leader="none" w:pos="50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an amount in cash and cash equivalents equal to $    </w:t>
        <w:tab/>
        <w:t>million;</w:t>
      </w:r>
    </w:p>
    <w:p>
      <w:pPr>
        <w:spacing w:after="0" w:line="131"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intellectual property primarily related to the Biopharma Co. Business, including certain specified registered intellectual property;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software and IT systems;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computers and other electronic data processing and communications equipment, fixtures, machinery, equipment (including, without limitation, all laboratory equipment and related materials), furniture, office equipment, special and general tools, test devices, prototypes and models and other tangible personal property;</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licenses, permits, registrations, approvals and authorizations used, held for the use of or otherwise primarily related to the Biopharma Co. Business, including all permits issued by the FDA and comparable governmental authorities primarily relating to the Biopharma Co. Business (not including any licenses, permits, registrations, approvals and authorizations which have been issued by any governmental authority that primarily relate to, or are used exclusively in, the Royalty Management Co. Business);</w:t>
      </w:r>
    </w:p>
    <w:p>
      <w:pPr>
        <w:spacing w:after="0" w:line="85"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deposits, letters of credit, prepaid expenses, trade accounts and other accounts primarily related to or arising out of the Biopharma Co.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inventories of products, goods, materials, parts, raw materials and supplies primarily related to the Biopharma Co. Business;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employment contracts, offer letters, restrictive covenant agreements and compensation and benefit plans applicable to the employees to be transferred to Biopharma Co.;</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in connection with and assets funding any obligation under each such benefit plan;</w:t>
      </w:r>
    </w:p>
    <w:p>
      <w:pPr>
        <w:spacing w:after="0" w:line="130" w:lineRule="exact"/>
        <w:rPr>
          <w:rFonts w:ascii="Times New Roman" w:cs="Times New Roman" w:eastAsia="Times New Roman" w:hAnsi="Times New Roman"/>
          <w:sz w:val="18"/>
          <w:szCs w:val="18"/>
          <w:color w:val="auto"/>
        </w:rPr>
      </w:pPr>
    </w:p>
    <w:p>
      <w:pPr>
        <w:jc w:val="both"/>
        <w:ind w:left="1080" w:right="240" w:hanging="424"/>
        <w:spacing w:after="0" w:line="261"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 information, supplier records, supplier lists, vendor data, correspondence and lists, product data and literature, artwork, design, development and business process files and data, vendor drawings, specifications, quality records and reports and other books, records, studies, surveys, reports, plans and documents, including any and all other confidential or proprietary information, that, in each case, is primarily related to the Biopharma Co. Business;</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shared contracts to which Biopharma Co. is a party and relating to both the Biopharma Co. Business and the Royalty Management Co. Business and any other contracts primarily related to the Biopharma Co. Business, and any rights or claims (whether accrued or contingent) arising under such contracts (not including contracts designated as primarily related to the Royalty Management Co. Business, any other contracts primarily related to the Royalty Management Co. Business and certain specified shared contracts);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60"/>
          </w:cols>
          <w:pgMar w:left="320" w:top="455" w:right="5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080" w:right="2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under insurance policies and all rights in the nature of insurance, indemnification or contribution primarily related to, or related to claims primarily arising out of, the Biopharma Co.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goodwill related to the Biopharma Co. Business; and</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assets that are owned, leased or licensed, at or prior to the effective time of the distribution, by AnaptysBio, Inc. that are primarily related to the Biopharma Co. Business.</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All assets other than those allocated to Biopharma Co. will generally be retained by AnaptysBio, Inc. The Separation and Distribution Agreement also identifies specific assets that will be allocated to AnaptysBio, Inc., including, subject to certain exceptions:</w:t>
      </w:r>
    </w:p>
    <w:p>
      <w:pPr>
        <w:spacing w:after="0" w:line="67" w:lineRule="exact"/>
        <w:rPr>
          <w:sz w:val="20"/>
          <w:szCs w:val="20"/>
          <w:color w:val="auto"/>
        </w:rPr>
      </w:pPr>
    </w:p>
    <w:p>
      <w:pPr>
        <w:ind w:left="1080" w:right="50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intellectual property primarily related to the Royalty Management Co. Business, including certain specified registered intellectual property;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“AnaptysBio” name and marks and any goodwill and common law rights thereto;</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licenses, permits, registrations, approvals and authorizations which have been issued by any governmental authority primarily related to the Royalty Management Co. Business;</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deposits, letters of credit, prepaid expenses, trade accounts and other accounts primarily related to the Royalty Management Co. Business;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inventories of clinical products, goods, materials, parts, raw materials and clinical supplies primarily related to the Royalty Management Co. Business;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1" w:lineRule="auto"/>
        <w:tabs>
          <w:tab w:leader="none" w:pos="10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cost information, sales and pricing data, customer prospect lists, supplier records, customer and supplier lists, customer and vendor data, correspondence and lists, product data and literature, artwork, design, development and business process files and data, vendor and customer drawings, specifications, quality records and reports and other books, records, studies, surveys, reports, plans and documents, and any other confidential or proprietary information, in each case, to the extent primarily related to the Royalty Management Co. Business;</w:t>
      </w:r>
    </w:p>
    <w:p>
      <w:pPr>
        <w:spacing w:after="0" w:line="69" w:lineRule="exact"/>
        <w:rPr>
          <w:rFonts w:ascii="Times New Roman" w:cs="Times New Roman" w:eastAsia="Times New Roman" w:hAnsi="Times New Roman"/>
          <w:sz w:val="17"/>
          <w:szCs w:val="17"/>
          <w:color w:val="auto"/>
        </w:rPr>
      </w:pPr>
    </w:p>
    <w:p>
      <w:pPr>
        <w:ind w:left="1080" w:right="20" w:hanging="424"/>
        <w:spacing w:after="0" w:line="258"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specified contracts designated as primarily related to the Royalty Management Co. Business, any other contracts primarily related to the Royalty Management Co. Business and certain specified shared contracts, and all rights and obligations and other liabilities (whether accrued or contingent) arising under any such contracts (excluding any contracts relating to hardware, servers, databases, software, networks, telecommunications systems, websites, computer equipment, interfaces, platforms, systems, other information technology and related infrastructure), including the GSK Collaboration and the Vanda Collaboration;</w:t>
      </w:r>
    </w:p>
    <w:p>
      <w:pPr>
        <w:spacing w:after="0" w:line="88"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under insurance policies and all rights in the nature of insurance, indemnification or contribution primarily related to the Royalty Management Co. Business, including certain specified insurance policies;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goodwill related to the Royalty Management Co. Business;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assets (other than registered intellectual property) that are owned, leased or licensed at or prior to the effective time of the</w:t>
      </w:r>
    </w:p>
    <w:p>
      <w:pPr>
        <w:spacing w:after="0" w:line="27" w:lineRule="exact"/>
        <w:rPr>
          <w:sz w:val="20"/>
          <w:szCs w:val="20"/>
          <w:color w:val="auto"/>
        </w:rPr>
      </w:pPr>
    </w:p>
    <w:p>
      <w:pPr>
        <w:ind w:left="1080" w:right="120"/>
        <w:spacing w:after="0" w:line="260" w:lineRule="auto"/>
        <w:rPr>
          <w:sz w:val="20"/>
          <w:szCs w:val="20"/>
          <w:color w:val="auto"/>
        </w:rPr>
      </w:pPr>
      <w:r>
        <w:rPr>
          <w:rFonts w:ascii="Times New Roman" w:cs="Times New Roman" w:eastAsia="Times New Roman" w:hAnsi="Times New Roman"/>
          <w:sz w:val="18"/>
          <w:szCs w:val="18"/>
          <w:color w:val="auto"/>
        </w:rPr>
        <w:t>distribution, or were owned leased or licensed since        , by AnaptysBio, Inc. (including AnaptysBio, Inc.) that are primarily related to the Royalty Management Co. Business.</w:t>
      </w:r>
    </w:p>
    <w:p>
      <w:pPr>
        <w:spacing w:after="0" w:line="18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Separation and Distribution Agreement provides that future liabilities arising out of or resulting from the ownership or operation of Biopharma Co. Business or the assets allocated to Biopharma Co. after the Distribution Date (excluding accrued, or any unpaid liabilities known as of the Distribution Date) will generally be retained by or transferred to Biopharma Co., including the following, subject to certain exceptions:</w:t>
      </w:r>
    </w:p>
    <w:p>
      <w:pPr>
        <w:spacing w:after="0" w:line="81" w:lineRule="exact"/>
        <w:rPr>
          <w:sz w:val="20"/>
          <w:szCs w:val="20"/>
          <w:color w:val="auto"/>
        </w:rPr>
      </w:pPr>
    </w:p>
    <w:p>
      <w:pPr>
        <w:ind w:left="5540" w:right="1480" w:hanging="4884"/>
        <w:spacing w:after="0" w:line="454" w:lineRule="auto"/>
        <w:tabs>
          <w:tab w:leader="none" w:pos="109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out of or resulting from the employee benefit plans to be retained by or transferred to Biopharma Co.; 67</w:t>
      </w:r>
    </w:p>
    <w:p>
      <w:pPr>
        <w:sectPr>
          <w:pgSz w:w="11900" w:h="16838" w:orient="portrait"/>
          <w:cols w:equalWidth="0" w:num="1">
            <w:col w:w="11140"/>
          </w:cols>
          <w:pgMar w:left="320" w:top="455"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080" w:right="4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out of or resulting from the employment or engagement of certain employees to be transferred to Biopharma Co., arising following the effective time of the distribution; and</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allocated to Biopharma Co. following the distribution under the Separation and Distribution Agreement with respect to employee matters.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liabilities other than those allocated to Biopharma Co. will generally be retained by or transferred to AnaptysBio, Inc. The Separation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Distribution Agreement identifies specific future liabilities that will be allocated to Biopharma Co. after the Distribution Date, including:</w:t>
      </w:r>
    </w:p>
    <w:p>
      <w:pPr>
        <w:spacing w:after="0" w:line="112" w:lineRule="exact"/>
        <w:rPr>
          <w:sz w:val="20"/>
          <w:szCs w:val="20"/>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agreements or obligations of Biopharma Co. under the Separation and Distribution Agreement or the Transition Services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from the ownership or operation of the Biopharma Co. Business, as conducted at any time after the distribution;</w:t>
      </w:r>
    </w:p>
    <w:p>
      <w:pPr>
        <w:spacing w:after="0" w:line="130" w:lineRule="exact"/>
        <w:rPr>
          <w:rFonts w:ascii="Times New Roman" w:cs="Times New Roman" w:eastAsia="Times New Roman" w:hAnsi="Times New Roman"/>
          <w:sz w:val="18"/>
          <w:szCs w:val="18"/>
          <w:color w:val="auto"/>
        </w:rPr>
      </w:pPr>
    </w:p>
    <w:p>
      <w:pPr>
        <w:ind w:left="1080" w:right="94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liabilities pursuant to any transaction, retention or sale bonus or award, tax gross-up or make whole payment or similar compensatory plan for or agreement entered into with current employees;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under applicable law as the result of or in relation to the operation or condition of any asset allocated to Biopharma Co., including Biopharma Co. real property, arising after the effective time of the distribution;</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from the violation, prior to, on or after the effective time of the distribution, of any permits allocated to Biopharma Co. issued under any environmental law; and</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arising out of or resulting from the storage, disposal, generation, shipment or other management of hazardous materials on, at, under or from Biopharma Co. real property or otherwise in connection with the Biopharma Co. Business prior to, on or after the effective time of the distribution.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Consents and Delayed Transfers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Separation and Distribution Agreement provides that AnaptysBio, Inc. and Biopharma Co. will use commercially reasonable efforts to obtain any consents, licenses, permits, or waivers with respect to, among other things, contracts required in connection with the distribution or, at the written request of the other party, the assignment or novation of certain obligations under contracts, licenses and other liabilities of the parties. The Separation and Distribution Agreement also requires AnaptysBio, Inc. and Biopharma Co. to cooperate with each other from and after the effective time of the distribution to, among other things, execute and deliver, or use reasonable best efforts to cause to be executed and delivered, all instruments, and to make all filings, provide any notice and obtain all consents and/or approvals under any licenses, permits, waivers, orders or authorizations in order to effectuate the transfer of the applicable assets and assignment and assumption of the applicable liabilities pursuant to the Separation and Distribution Agreement.</w:t>
      </w:r>
    </w:p>
    <w:p>
      <w:pPr>
        <w:spacing w:after="0" w:line="19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From and after the distribution, with respect to any asset whose transfer or assignment is delayed, the party retaining such delayed asset will hold for the use and benefit of the party entitled thereto (at the expense of the entity entitled thereto) and use commercially reasonable efforts to cooperate with the intended recipient to agree to any reasonable and lawful arrangements designed to provide the applicable party with the economic claims, rights, benefits and control over such delayed asset and assume the economic burdens and obligations with respect thereto in accordance with the Separation and Distribution Agreement, including by subcontracting, sublicensing or subleasing arrangements to the extent legally permissible. From and after the distribution, with respect to any liability whose assumption is delayed, the party intended to assume such delayed liability will pay or reimburse the party retaining such delayed liability for all amounts paid or incurred by such party in connection with the retention of such delayed liability. The party retaining any delayed asset or delayed liability will treat such delayed asset or delayed liability in the ordinary course of business in accordance with past practice.</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60"/>
          </w:cols>
          <w:pgMar w:left="320" w:top="455" w:right="5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Commingled Contracts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Separation and Distribution Agreement provides that any contract to which Biopharma Co. following the distribution is a party that relates to both the Biopharma Co. Business and the Royalty Management Co. Business will be treated as commingled contracts. From the date of the Separation and Distribution Agreement until the date that is 24 months after the distribution, to the extent the rights and obligations under any commingled contract have not or are not contemplated to be provided to either Biopharma Co. or AnaptysBio, Inc. following the distribution pursuant to the Transition Services Agreement or sublicensed, replacement contracts, contract rights, bids, purchase orders or other agreements with respect to the Biopharma Co. Business or Royalty Management Co. Business have not been obtained or are not contemplated to be obtained pursuant to the Separation and Distribution Agreement, and as requested by either Biopharma Co. or AnaptysBio, Inc. in writing, each party will use commercially reasonable efforts to assist the other party to establish replacement contracts, contract rights, bids, purchase orders, or other agreements with respect to either the Biopharma Co. Business or Royalty Management Co. Business, to assign to the other party or any of its subsidiaries following the distribution the rights and obligations under such commingled contract to the extent primarily related to either the Biopharma Co. Business or Royalty Management Co. Business, as applicable, or to establish reasonable and lawful arrangements designed to provide either Biopharma Co. and its subsidiaries or AnaptysBio, Inc. and its subsidiaries following the distribution with the rights and obligations under such commingled contract to the extent related to either the Royalty Management Co. Business or the Biopharma Co. Business. After the distribution, if AnaptysBio, Inc. holds any Biopharma Co. assets or registered intellectual property not primarily related to the Royalty Management Co. Business, AnaptysBio, Inc. must inform Biopharma Co. and use reasonable best efforts to transfer them to Biopharma Co. without extra cost. Similarly, if Biopharma Co. holds assets or registered intellectual property primarily related to the Royalty Management Co. Business (notwithstanding certain trademarks), Biopharma Co. must inform AnaptysBio, Inc. and use reasonable best efforts to transfer them to AnaptysBio, Inc. at no additional cost.</w:t>
      </w:r>
    </w:p>
    <w:p>
      <w:pPr>
        <w:spacing w:after="0" w:line="2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Spin-Off</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the Spin-Off, and pursuant to the distribution, AnaptysBio, Inc. will consummate the distribution of all of the shares of Biopharma Co. common stock on a pro rata basis to the holders of shares of AnaptysBio, Inc.’s common stock. AnaptysBio, Inc.’s board of directors (or a committee thereof), in accordance with applicable law, will establish a record date for the distribution. Each holder of shares of AnaptysBio, Inc. common stock on the distribution record date will be entitled to receive 1 share of Biopharma Co. common stock for every        share of AnaptysBio, Inc. common stock held by such holder on the record date.</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the Distribution Date, AnaptysBio, Inc. will instruct AnaptysBio, Inc.’s stock transfer agent to effect the Spin-Off by distributing the shares of Biopharma Co. common stock to holders of record of shares of AnaptysBio, Inc. common stock and to credit the appropriate number of shares of Biopharma Co. common stock to book-entry accounts for each such holder of shares of AnaptysBio, Inc. common stock. AnaptysBio, Inc. will instruct the stock transfer agent to deliver the shares of Biopharma Co. common stock to a depositary and to mail each holder of record of shares of AnaptysBio, Inc. common stock on the record date a statement of the shares of Biopharma Co. common stock credited to such holder’s account.</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Spin-Off</w:t>
      </w:r>
    </w:p>
    <w:p>
      <w:pPr>
        <w:spacing w:after="0" w:line="119" w:lineRule="exact"/>
        <w:rPr>
          <w:sz w:val="20"/>
          <w:szCs w:val="20"/>
          <w:color w:val="auto"/>
        </w:rPr>
      </w:pPr>
    </w:p>
    <w:p>
      <w:pPr>
        <w:ind w:left="120" w:right="240" w:firstLine="440"/>
        <w:spacing w:after="0" w:line="284" w:lineRule="auto"/>
        <w:rPr>
          <w:sz w:val="20"/>
          <w:szCs w:val="20"/>
          <w:color w:val="auto"/>
        </w:rPr>
      </w:pPr>
      <w:r>
        <w:rPr>
          <w:rFonts w:ascii="Times New Roman" w:cs="Times New Roman" w:eastAsia="Times New Roman" w:hAnsi="Times New Roman"/>
          <w:sz w:val="18"/>
          <w:szCs w:val="18"/>
          <w:color w:val="auto"/>
        </w:rPr>
        <w:t>The consummation of the Spin-Off is subject to the satisfaction or waiver of certain conditions. For more information, see “—</w:t>
      </w:r>
      <w:r>
        <w:rPr>
          <w:rFonts w:ascii="Times New Roman" w:cs="Times New Roman" w:eastAsia="Times New Roman" w:hAnsi="Times New Roman"/>
          <w:sz w:val="18"/>
          <w:szCs w:val="18"/>
          <w:i w:val="1"/>
          <w:iCs w:val="1"/>
          <w:color w:val="auto"/>
        </w:rPr>
        <w:t>Conditions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Spin-Off</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Separation and Distribution Agreement provides that AnaptysBio, Inc. may waive any of the conditions to the Spin-Off and proceed with the Spin-Off even if all such conditions have not been met. If AnaptysBio, Inc. waives any such condition and the Spin-Off is completed, such waiver could have a material adverse effect on Biopharma Co.’s business, financial condition or results of operations or the ability of stockholders to sell their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shares after the Spin-Off, including, without limitation, as a result of illiquid trading due to the failure of Biopharma Co. common stock to be accepted for listing on a national securities exchange. Notwithstanding AnaptysBio, Inc.’s contractual ability to waive the conditions in the Separation and Distribution Agreement, AnaptysBio, Inc. cannot proceed with the Spin-Off if there is a stop order, injunction or law preventing the consummation of the separation or the distribution, if the registration statement on Form 10 of which this information statement is a part is not declared effective by the Securities and Exchange Commission or if such registration statement does not remain effective.</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Access to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Separation and Distribution Agreement provides for the following access to information:</w:t>
      </w:r>
    </w:p>
    <w:p>
      <w:pPr>
        <w:spacing w:after="0" w:line="131" w:lineRule="exact"/>
        <w:rPr>
          <w:sz w:val="20"/>
          <w:szCs w:val="20"/>
          <w:color w:val="auto"/>
        </w:rPr>
      </w:pPr>
    </w:p>
    <w:p>
      <w:pPr>
        <w:ind w:left="1080" w:right="100" w:hanging="424"/>
        <w:spacing w:after="0" w:line="25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Distribution Date, each of AnaptysBio, Inc. and Biopharma Co. agrees to provide to the other party, as soon as reasonably practicable after written request therefor, specific and identified agreements, documents, books, records or files (whether written or electronic) in the possession or under the control of such respective party or any of its subsidiaries which primarily relate to the requesting party or to the Biopharma Co. Business, in the case of a request by Biopharma Co., or the Royalty Management Co. Business, in the case of a request by AnaptysBio, Inc., or which are necessary or advisable for the requesting party to prepare its financial statements and any reports or filings to be made with any governmental authority;</w:t>
      </w:r>
    </w:p>
    <w:p>
      <w:pPr>
        <w:spacing w:after="0" w:line="92"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Date, AnaptysBio, Inc. and Biopharma Co. will each use commercially reasonable efforts to make available, upon reasonable written request, its and its subsidiaries’ representatives as witnesses and any agreements, documents, books, records or files (whether written or electronic) within their control or which they may make available without undue burden, as reasonably required by the requesting party in connection with the prosecution or defense of any proceeding, with the requesting party to bear all reasonable out-of-pocket costs and expenses in connection therewith; and</w:t>
      </w:r>
    </w:p>
    <w:p>
      <w:pPr>
        <w:spacing w:after="0" w:line="88"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five years after the Distribution Date, upon reasonable prior notice, each of AnaptysBio, Inc. and Biopharma Co. will make available to the other applicable party’s officers and other authorized representatives reasonable access, during normal business hours, to its employees and properties that relate to the other party’s business and will furnish promptly all information concerning such other party’s business and such other party’s properties and personnel related thereto, as may reasonably be requested, provided that neither party will be required to (i) permit any inspection or disclosure of any information that, in the reasonable judgment of such party, would be detrimental to such party’s or its subsidiaries’ business or operations, result in the disclosure of trade secrets or know-how of third parties or violate confidentiality obligations, be reasonably likely to result in a violation of any law, fiduciary duty or binding agreement entered into prior to the date of the Separation and Distribution Agreement or involve information that is reasonably pertinent to a litigation or proceeding between Biopharma Co. and its affiliates, on the one hand, and AnaptysBio, Inc. and its affiliates, on the other hand, after the distribution, (ii) disclose any privileged information or (iii) submit to any invasive environmental testing or sampling.</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Releases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Separation and Distribution Agreement provides that, subject to certain exceptions specified in the Separation and Distribution Agreement, each party, on behalf of itself and each member of its group, and to the extent permitted by law, all persons who any time prior to the distribution were stockholders, directors, officers, agents or employees of any member of its respective group (in their respective capacities as such), effective at the time of and conditioned upon the occurrence of the distribution, will remise, release and forever discharge the other party and the other members of the other party’s group and their respective successors, stockholders, directors, officers, agents or employees from any and all liabilities to the extent existing or arising from any acts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40"/>
          </w:cols>
          <w:pgMar w:left="320" w:top="455"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or events occurring or failing to occur or alleged to have occurred or have failed to occur, and any conditions existing or alleged to have existed, on or before the distribution, including in connection with the separation, the distribution or any of the other transactions contemplated under the Separation and Distribution Agreement or the Transition Services Agreement.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Separation and Distribution Agreement, AnaptysBio, Inc. agrees to indemnify, defend and hold harmless Biopharma Co., each of its affiliates after giving effect to the distribution, and each of their respective directors, officers, employees and agents, from and against all losses to the extent arising out of, by reason of or otherwise in connection with:</w:t>
      </w:r>
    </w:p>
    <w:p>
      <w:pPr>
        <w:spacing w:after="0" w:line="81" w:lineRule="exact"/>
        <w:rPr>
          <w:sz w:val="20"/>
          <w:szCs w:val="20"/>
          <w:color w:val="auto"/>
        </w:rPr>
      </w:pPr>
    </w:p>
    <w:p>
      <w:pPr>
        <w:ind w:left="1080" w:right="80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described under “Transfer of Assets and Assumption of Liabilities” as allocated to AnaptysBio, Inc. following the distribution pursuant to the Separation and Distribution Agreement;</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AnaptysBio, Inc., any of its subsidiaries following the distribution or any other person or entity to pay, perform or otherwise promptly discharge such liabilities, whether prior to, at or after the effective time of the distribution;</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AnaptysBio, Inc. or any of its subsidiaries of the Separation and Distribution Agreement or the Transition Services Agreement;</w:t>
      </w:r>
    </w:p>
    <w:p>
      <w:pPr>
        <w:spacing w:after="0" w:line="67"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related to liabilities described under “Transfer of Assets and Assumption of Liabilities” as allocated to Biopharma Co. following the distribution pursuant to the Separation and Distribution Agreement, any guarantee, indemnification obligation, surety bond or other credit support agreement, arrangement, commitment or understanding to the extent discharged or performed by AnaptysBio, Inc. or any subsidiary of AnaptysBio, Inc. following the distribution for the benefit of Biopharma Co. or any subsidiary of Biopharma Co. following the distribution that survives the effective time of the distribution;</w:t>
      </w:r>
    </w:p>
    <w:p>
      <w:pPr>
        <w:spacing w:after="0" w:line="88" w:lineRule="exact"/>
        <w:rPr>
          <w:rFonts w:ascii="Times New Roman" w:cs="Times New Roman" w:eastAsia="Times New Roman" w:hAnsi="Times New Roman"/>
          <w:sz w:val="18"/>
          <w:szCs w:val="18"/>
          <w:color w:val="auto"/>
        </w:rPr>
      </w:pPr>
    </w:p>
    <w:p>
      <w:pPr>
        <w:ind w:left="1080" w:right="160" w:hanging="424"/>
        <w:spacing w:after="0" w:line="258"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of a material fact or omission or alleged omission to state a material fact required to be stated therein or necessary to make the statements therein not misleading, with respect to all information supplied by AnaptysBio, Inc. in writing expressly for inclusion in the registration statement in connection with the distribution and the related information statement (including any amendments or supplements) or any other filings with the SEC made in connection with the transactions contemplated by the Separation and Distribution Agreement;</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tax liabilities that AnaptysBio, Inc. is liable for pursuant to the Separation and Distribution Agreement; and</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relating to, arising out of or resulting from claims by any holders of shares of AnaptysBio, Inc. common stock, in their capacity as such, in connection with the distribution.</w:t>
      </w:r>
    </w:p>
    <w:p>
      <w:pPr>
        <w:spacing w:after="0" w:line="162"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Biopharma Co. agrees to indemnify, defend and hold harmless AnaptysBio, Inc., each of its affiliates after giving effect to the distribution and each of their respective directors, officers, employees and agents from and against all losses to the extent arising out of, by reason of or otherwise in connection with:</w:t>
      </w:r>
    </w:p>
    <w:p>
      <w:pPr>
        <w:spacing w:after="0" w:line="81" w:lineRule="exact"/>
        <w:rPr>
          <w:sz w:val="20"/>
          <w:szCs w:val="20"/>
          <w:color w:val="auto"/>
        </w:rPr>
      </w:pPr>
    </w:p>
    <w:p>
      <w:pPr>
        <w:ind w:left="1080" w:right="4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described under “Transfer of Assets and Assumption of Liabilities” as allocated to Biopharma Co. following the distribution pursuant to the Separation and Distribution Agreement;</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Biopharma Co., any of its subsidiaries following the distribution or any other person or entity to pay, perform or otherwise promptly discharge such liabilities, whether prior to, at or after the effective time of the distribution;</w:t>
      </w:r>
    </w:p>
    <w:p>
      <w:pPr>
        <w:spacing w:after="0" w:line="67"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Biopharma Co. or any of its subsidiaries of the Separation and Distribution Agreement or the Transition Services Agreement;</w:t>
      </w:r>
    </w:p>
    <w:p>
      <w:pPr>
        <w:spacing w:after="0" w:line="2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00"/>
          </w:cols>
          <w:pgMar w:left="320" w:top="455" w:right="4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080" w:hanging="424"/>
        <w:spacing w:after="0" w:line="258"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related to liabilities described under “Transfer of Assets and Assumption of Liabilities” as allocated to AnaptysBio, Inc. following the distribution pursuant to the Separation and Distribution Agreement, any guarantee, indemnification obligation, surety bond or other credit support agreement, arrangement, commitment or understanding to the extent discharged or performed by Biopharma Co. or any subsidiary of Biopharma Co. following the distribution for the benefit of AnaptysBio, Inc. or any subsidiary of AnaptysBio, Inc. following the distribution that survives the effective time of the distribution;</w:t>
      </w:r>
    </w:p>
    <w:p>
      <w:pPr>
        <w:spacing w:after="0" w:line="88" w:lineRule="exact"/>
        <w:rPr>
          <w:rFonts w:ascii="Times New Roman" w:cs="Times New Roman" w:eastAsia="Times New Roman" w:hAnsi="Times New Roman"/>
          <w:sz w:val="18"/>
          <w:szCs w:val="18"/>
          <w:color w:val="auto"/>
        </w:rPr>
      </w:pPr>
    </w:p>
    <w:p>
      <w:pPr>
        <w:ind w:left="1080" w:right="180" w:hanging="424"/>
        <w:spacing w:after="0" w:line="256"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the registration statement in connection with the distribution and the related information statement (including any amendments or supplements) or any other filings with the SEC made in connection with the transactions contemplated by the Separation and Distribution Agreement, excluding any such liabilities to the extent relating to information supplied by AnaptysBio, Inc. in writing expressly for inclusion in such filings;</w:t>
      </w:r>
    </w:p>
    <w:p>
      <w:pPr>
        <w:spacing w:after="0" w:line="92"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relating to, arising out of or resulting from claims by any holders of shares of Biopharma Co. common stock, in their capacity as such, in connection with the distribution;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tax liabilities that Biopharma Co. is liable for pursuant to the Separation and Distribution Agreement.</w:t>
      </w:r>
    </w:p>
    <w:p>
      <w:pPr>
        <w:spacing w:after="0" w:line="225"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Under the Separation and Distribution Agreement, the amount of any indemnifiable loss will be reduced by (i) any insurance proceeds actually received and any other amounts actually recovered from third parties in respect of the indemnifiable claim, less (ii) any related costs and expenses of such receipt or recovery, including the aggregate cost of pursuing any related insurance claims and any taxes. The Separation and Distribution Agreement provides that an insurer who would otherwise be obligated to pay any claim will not be relieved of the responsibility with respect thereto or have any subrogation rights with respect thereto solely by virtue of the indemnification provisions of the Separation and Distribution Agreement. Pursuant to the Separation and Distribution Agreement, the indemnified party will use commercially reasonable efforts to seek to collect or recover any third-party insurance proceeds or other indemnification, contribution or similar payments to which the indemnified party is entitled in connection with any liability for which the indemnified party seeks indemnification pursuant to the Separation and Distribution Agreement. The amount of any claim by an indemnified party under the Separation and Distribution Agreement will also be reduced to reflect any actual tax savings or insurance proceeds received by any indemnified party that result from the losses that gave rise to such indemnity, and will be increased by an amount equal to any tax cost incurred by any indemnified party that results from the receipt of payments under the Separation and Distribution Agreement.</w:t>
      </w:r>
    </w:p>
    <w:p>
      <w:pPr>
        <w:spacing w:after="0" w:line="19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Separation and Distribution Agreement also establishes procedures with respect to third-party claims subject to indemnification and related matters.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Tax Matters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Separation and Distribution Agreement will govern the respective rights, responsibilities and obligations of AnaptysBio, Inc. and Biopharma Co. after the Spin-Off with respect to tax liabilities and benefits, tax returns, tax contests and tax sharing regarding U.S. federal, state, local and foreign taxes. The Separation and Distribution Agreement also will provide special rules for allocating certain tax liabilities resulting from the Spin-Off and related transactions.</w:t>
      </w:r>
    </w:p>
    <w:p>
      <w:pPr>
        <w:spacing w:after="0" w:line="18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Under the Separation and Distribution Agreement, Biopharma Co. generally will provide a tax indemnity to AnaptysBio, Inc. for “Biopharma Co. Indemnified Taxes” (generally Biopharma Co.’s shares of transfer taxes and any income taxes, calculated on a pro forma basis, attributable to the assets and liabilities associated with the Biopharma Co. Business that arose in taxable periods that precede and include the distribution) and AnaptysBio,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Inc. generally will provide a tax indemnity to Biopharma Co. for any “Company Indemnified Taxes” (generally taxes arising in respect of the separation and the distribution, AnaptysBio, Inc.’s share of transfer taxes and taxes of AnaptysBio, Inc. or the consolidated group of which AnaptysBio, Inc. was the common parent that are not Biopharma Co. Indemnified Taxes). The parties have also agreed to make, at AnaptysBio, Inc.’s election, a Section 336(e) Election with respect to Biopharma Co., resulting in Biopharma Co. receiving a fair market value tax basis in its assets.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Non-Solicit</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Separation and Distribution Agreement provides that, for a period of 24 months following the effective time of the distribution, none of AnaptysBio, Inc., Biopharma Co. or any of their respective subsidiaries will, without the prior written consent of the other party, subject to certain exceptions, directly or indirectly recruit, solicit, hire or retain certain specified employees of the other party or, subject to certain exceptions, induce or attempt to induce any such employee to terminate his or her employment with, or otherwise cease his or her relationship with, the other party or its subsidiaries.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Additional Covenants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Separation and Distribution Agreement also addresses additional obligations of the parties relating to, among other matters, further assurances, guarantees, provision and retention of corporate records, confidentiality, privilege, ownership and exchanges of information and using their reasonable best efforts to, prior to the Distribution Date, finalize the Transition Services Agreement and identify the services to be provided under the Transition Services Agreement.</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Employee Matters / Executive Compensation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Prior to the effective time of the distribution, AnaptysBio, Inc. will transfer and assign (i) the employment of all current employees of AnaptysBio, Inc. and (ii) all independent contractors or other service providers of AnaptysBio, Inc. or any of its affiliates who primarily provide, or who have primarily provided, services to the Biopharma Co. Business and who are currently engaged or providing services as of immediately prior to the distribution, each to Biopharma Co. Such transfer (1) will not be deemed to be a termination of employment by AnaptysBio, Inc. (upon the effective time of the distribution), as applicable, and (2) will not trigger any obligation to pay severance, separation pay, salary continuation, or other similar benefits to any such transferred employee.</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Biopharma Co. will assume and honor all employment and individual agreements between AnaptysBio, Inc. and the employees and other service providers transferred to Biopharma Co., as well as all benefit plans maintained by AnaptysBio, Inc. Upon the effective time of the distribution, AnaptysBio, Inc. will cease to be a participating company in any Biopharma Co. benefit plan.</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Following the distribution, Biopharma Co. will have full responsibility with respect to any liabilities arising or relating to the employment or engagement of all current and former employees and other service providers of AnaptysBio, Inc. or under the employment and individual agreements and benefit plans transferred to Biopharma Co. (inclusive of the payment or performance of any obligation arising out of or relating to any annual cash bonus other than the portion of any annual bonuses that is attributed to the period prior to the Separation Date or other short-term cash incentive plan or program in which Biopharma Co. employees participate (excluding responsibility for the payment of the portion of the bonuses attributed to the period prior to the Separation Date)).</w:t>
      </w:r>
    </w:p>
    <w:p>
      <w:pPr>
        <w:spacing w:after="0" w:line="187"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AnaptysBio, Inc. will retain responsibility for the payment of any cash fees payable in respect of service on the board of directors pre-closing that are required by the existing non-employee director compensation plan as of the date of the Separation and Distribution Agreement and payable but not yet paid as of the distribution. Biopharma Co. will have no responsibility for any such payments.</w:t>
      </w:r>
    </w:p>
    <w:p>
      <w:pPr>
        <w:spacing w:after="0" w:line="3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Biopharma Co. may implement a cash retention program in accordance with the terms of the Transition Services Agreement.</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Licensed Names and Marks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the Separation and Distribution Agreement, AnaptysBio, Inc., on behalf of itself effective as of the date of the distribution will grant to Biopharma Co. a worldwide, non-exclusive, non-transferable (except as otherwise set forth in the Separation and Distribution Agreement), royalty-free, fully paid-up license to use and display the name “AnaptysBio” or any derivative or variation thereof, and any trademarks associated with such name in each case, solely to the extent necessary to transition from uses of such licensed names and marks in the Biopharma Co. Business to other names and marks, including on signage and materials owned or possessed by Biopharma Co. as of the Distribution Date, and as otherwise required to comply with applicable law.</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Shared IP</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Separation and Distribution Agreement, effective as of the date of the distribution, AnaptysBio, Inc., on behalf of itself, grants to Biopharma Co. a worldwide, perpetual, irrevocable, fully paid-up, royalty-free, non-transferable (except as otherwise set forth in the Separation and Distribution Agreement), non-sublicensable (except as otherwise set forth in the Separation and Distribution Agreement), non-exclusive license under certain patents, trade secrets, know-how and other proprietary information included in the assets allocated to AnaptysBio, Inc. that are owned or otherwise licensable (without additional consideration) by AnaptysBio, Inc. as of the date of the Separation and Distribution Agreement to use, reproduce, create derivative works of, modify, distribute, make, have made, sell, offer for sale, import or otherwise exploit products and services solely to the extent necessary or reasonably useful to operate and exploit the Biopharma Co. Business as conducted as of the closing of the transactions and any natural evolutions or extensions thereof.</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Effective as of the date of the distribution, Biopharma Co., on behalf of itself, grants to AnaptysBio, Inc. a worldwide, perpetual, irrevocable, fully paid-up, royalty-free, non-transferable (except as otherwise set forth in the Separation and Distribution Agreement), non-sublicensable (except as otherwise set forth in the Separation and Distribution Agreement), non-exclusive license under certain trade secrets, know-how and other proprietary information included in the assets allocated to Biopharma Co. that are owned or otherwise licensable (without additional consideration) by Biopharma Co. as of the date of the Separation and Distribution Agreement and that are licensed or obligated to be licensed pursuant to the GSK Collaboration or Vanda Collaboration (“Biopharma Co. Shared IP”) to the extent and for such purposes as such Biopharma Co. Shared IP is licensed or obligated to be licensed under such agreements as of the date of the Separation and Distribution Agreement.</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Except as otherwise set forth in the Separation and Distribution Agreement or Transition Services Agreement, all costs and expenses incurred on or prior to the date of the distribution in connection with the preparation, execution, delivery, printing and implementation of the Separation and Distribution Agreement, the Transition Services Agreement, the registration statement in connection with the distribution and the related information statement, and the transactions contemplated thereby, including the distribution, will be paid by AnaptysBio, Inc. and deemed to be liabilities of AnaptysBio, Inc. Each party will bear its own costs and expenses incurred after the date of the distribution.</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Separation and Distribution Agreement may be terminated, and the distribution may be amended, modified or abandoned, at any time prior to the distribution by an agreement in writing signed by AnaptysBio, Inc., without the approval of Biopharma Co. After the distribution, the Separation and Distribution Agreement may only be terminated by an agreement in writing signed by AnaptysBio, Inc. and Biopharma Co.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parties to the Separation and Distribution Agreement have agreed that the Separation and Distribution Agreement is governed by, and will be construed in accordance with, the laws of the State of Delaware.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Jurisdiction</w:t>
      </w:r>
    </w:p>
    <w:p>
      <w:pPr>
        <w:spacing w:after="0" w:line="12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parties to the Separation and Distribution Agreement have agreed that any proceeding with respect to the Separation and Distribution Agreement or the transactions contemplated thereby, or for recognition and enforcement of any judgment in respect thereof, brought by AnaptysBio, Inc. or Biopharma Co. or its successors or assigns will be determined in the Court of Chancery of the State of Delaware. If the Court of Chancery declines jurisdiction, any other state court of the State of Delaware or the United States District Court for the District of Delaware will have exclusive jurisdiction and venue.</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 Third-Party Beneficiary</w:t>
      </w:r>
    </w:p>
    <w:p>
      <w:pPr>
        <w:spacing w:after="0" w:line="121"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indemnification provisions relating to indemnified parties, the Separation and Distribution Agreement is solely for the benefit of the parties to the Separation and Distribution Agreement and does not confer upon any person (other than the parties to the Separation and Distribution Agreement and their respective successors and permitted assigns) any right, benefit or remedy of any nature.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Waiver</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parties to the Separation and Distribution Agreement agreed that, at any time prior to the effective time of the distribution, either party may extend the time for the performance of any of the obligations or other acts of the other party or may waive compliance with any of the agreements of the other party or any conditions to its own obligations, in each case, only to the extent such obligations, agreements and conditions are intended for its benefit, provided that such extension or waiver is set forth in a writing executed by such party.</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Specific Performance</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parties to the Separation and Distribution Agreement have agreed that irreparable harm would occur that monetary damages could not make whole in the event of any breach of the Separation and Distribution Agreement and that the parties to the Separation and Distribution Agreement are entitled to specific performance, or other non-monetary equitable relief, to prevent or restrain breaches or threatened breaches of the Separation and Distribution Agreement without posting any bond or undertaking, in addition to any other remedy to which the parties may be entitled at law or in equity.</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Listing and Trading of Shares of Our Common Stock</w:t>
      </w:r>
    </w:p>
    <w:p>
      <w:pPr>
        <w:spacing w:after="0" w:line="121"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As of the date of this information statement, we are a wholly-owned subsidiary of AnaptysBio, Inc. Accordingly, no public market for shares of our common stock currently exists, although a “when-issued” market in shares of our common stock may develop prior to the Spin-Off. See “—</w:t>
      </w:r>
      <w:r>
        <w:rPr>
          <w:rFonts w:ascii="Times New Roman" w:cs="Times New Roman" w:eastAsia="Times New Roman" w:hAnsi="Times New Roman"/>
          <w:sz w:val="17"/>
          <w:szCs w:val="17"/>
          <w:i w:val="1"/>
          <w:iCs w:val="1"/>
          <w:color w:val="auto"/>
        </w:rPr>
        <w:t>Trading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Prior to the Distribution Date</w:t>
      </w:r>
      <w:r>
        <w:rPr>
          <w:rFonts w:ascii="Times New Roman" w:cs="Times New Roman" w:eastAsia="Times New Roman" w:hAnsi="Times New Roman"/>
          <w:sz w:val="17"/>
          <w:szCs w:val="17"/>
          <w:color w:val="auto"/>
        </w:rPr>
        <w:t>” below for an explanation of a “when-issued” market. We will apply to list shares of our common stock on the Exchange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the ticker symbol “        ” and the completion of the Spin-Off is conditioned on shares of our common stock being accepted for listing on the Exchange. Following the Spin-Off, shares of AnaptysBio, Inc. common stock will continue to trade on the Exchange under the ticker symbol “ANAB.”</w:t>
      </w:r>
    </w:p>
    <w:p>
      <w:pPr>
        <w:spacing w:after="0" w:line="16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Although AnaptysBio, Inc. believes that our separation from AnaptysBio, Inc. offers its stockholders the greatest long-term value, neither we nor AnaptysBio, Inc. can assure you as to the trading price of shares of AnaptysBio, Inc. common stock or shares of our common stock after the Spin-Off, or as to whether the combined trading prices of shares of our common stock and the shares of AnaptysBio, Inc. common stock after the Spin-Off will equal or exceed the trading prices of shares of AnaptysBio, Inc. common stock prior to the Spin-Off or what the trading price of shares of AnaptysBio, Inc. common stock would have been in absence of the Spin-Off. The trading price of shares of our common stock may fluctuate significantly following the Spin-Off.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40"/>
          </w:cols>
          <w:pgMar w:left="320" w:top="455"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shares of Biopharma Co. common stock distributed to AnaptysBio, Inc. stockholders will be freely transferable, except for shares received by individuals who are our affiliates. Individuals who may be considered our affiliates after the Spin-Off include individuals who control, are controlled by, or are under common control with us, as those terms generally are interpreted for federal securities law purposes. These individuals may include some or all of our directors and executive officers. Individuals who are our affiliates will be permitted to sell their shares of Biopharma Co. common stock only pursuant to an effective registration statement under the Securities Act, or an exemption from the registration requirements of the Securities Act, such as those afforded by Section 4(a)(1) of the Securities Act or Rule 144 thereunder. See “</w:t>
      </w:r>
      <w:r>
        <w:rPr>
          <w:rFonts w:ascii="Times New Roman" w:cs="Times New Roman" w:eastAsia="Times New Roman" w:hAnsi="Times New Roman"/>
          <w:sz w:val="18"/>
          <w:szCs w:val="18"/>
          <w:i w:val="1"/>
          <w:iCs w:val="1"/>
          <w:color w:val="auto"/>
        </w:rPr>
        <w:t>Shares Eligible for Future Sale</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Trading Prior to the Distribution Date</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expect a “when-issued” market in shares of our common stock to develop prior to the Distribution Date and continue up to and including the Distribution Date. “When-issued” trading refers to a sale or purchase made conditionally on or before the Distribution Date because the securities of the spun-off entity have not yet been distributed. If you own shares of AnaptysBio, Inc. common stock at the close of business on the Record Date, you will be entitled to receive shares of Biopharma Co. common stock in the Spin-Off. You may trade this entitlement to receive shares of Biopharma Co. common stock, without the shares of AnaptysBio, Inc. common stock you own, on the “when-issued” market. We expect “when-issued” trades of shares of our common stock to settle within two trading days after the Distribution Date. On the first trading day following the Distribution Date, we expect that “when-issued” trading of shares of our common stock will end and “regular-way” trading will begin.</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also anticipate that, prior to the Distribution Date and continuing up to and including the Distribution Date, there will be two markets in shares of AnaptysBio, Inc. common stock: a “regular-way” market and an “ex-distribution” market. Shares of AnaptysBio, Inc. common stock that trade on the regular-way market will trade with an entitlement to receive shares of Biopharma Co. common stock in the Spin-Off. Shares that trade on the ex-distribution market will trade without an entitlement to receive shares of Biopharma Co. common stock in the Spin-Off. Therefore, if you sell shares of AnaptysBio, Inc. common stock in the regular-way market up to and including the Distribution Date, you will be selling your right to receive shares of Biopharma Co. common stock in the Spin-Off. However, if you own shares of AnaptysBio, Inc. common stock at the close of business on the Record Date and sell those shares on the ex-distribution market up to and including the Distribution Date, you will still receive the shares of Biopharma Co. common stock that you would otherwise be entitled to receive in the Spin-Off.</w:t>
      </w:r>
    </w:p>
    <w:p>
      <w:pPr>
        <w:spacing w:after="0" w:line="192"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If “when-issued” trading occurs, the listing for shares of our common stock is expected to be under a trading symbol different from our regular-way trading symbol. If the Spin-Off does not occur, all “when-issued” trading will be null and void.</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Conditions to the Spin-Off</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expect that the Spin-Off will be effective on the Distribution Date, provided that the following conditions shall have been satisfied or waived by AnaptysBio, Inc.:</w:t>
      </w:r>
    </w:p>
    <w:p>
      <w:pPr>
        <w:spacing w:after="0" w:line="67" w:lineRule="exact"/>
        <w:rPr>
          <w:sz w:val="20"/>
          <w:szCs w:val="20"/>
          <w:color w:val="auto"/>
        </w:rPr>
      </w:pPr>
    </w:p>
    <w:p>
      <w:pPr>
        <w:ind w:left="1080" w:right="28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AnaptysBio, Inc. Board shall have approved the Spin-Off and not withdrawn such approval, and shall have declared the dividend of shares of our common stock to AnaptysBio, Inc. stockholders;</w:t>
      </w:r>
    </w:p>
    <w:p>
      <w:pPr>
        <w:spacing w:after="0" w:line="67"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and Distribution Agreement, as well as any ancillary agreements contemplated by the Separation and Distribution Agreement to be executed in connection with the Spin-Off, shall have been executed by each party to those agreements;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shall have been accepted for listing on a national securities exchange approved by AnaptysBio, Inc., subject to official notice of issuance;</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080" w:right="260" w:hanging="424"/>
        <w:spacing w:after="0" w:line="266"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shall have declared effective our registration statement on Form 10 of which this information statement is a part, under the Exchange Act, and no stop order suspending the effectiveness of the registration statement shall be in effect and no proceedings for that purpose shall be pending before or threatened by the SEC;</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Reorganization Transactions shall have been completed (other than those steps that are expressly contemplated to occur at or after the Spin-Off);</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injunction, or decree issued by any governmental authority of competent jurisdiction or other legal restraint or prohibition preventing consummation of the Spin-Off shall be in effect, and no other event outside the control of AnaptysBio, Inc. shall have occurred or failed to occur that prevents the consummation of the Spin-Off;</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events or developments shall have occurred prior to the Spin-Off that, in the judgment of the AnaptysBio, Inc. Board, would result in the Spin-Off having a material adverse effect on AnaptysBio, Inc. or its stockholders;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Distribution Date, a Notice of Internet Availability for this registration statement or this information statement shall have been mailed to the holders of shares of AnaptysBio, Inc. common stock as of the Record Date;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set forth in the Separation and Distribution Agreement.</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Any of the above conditions may be waived by the AnaptysBio, Inc. Board to the extent such waiver is permitted by law. If AnaptysBio, Inc. waives any such condition and the Spin-Off is completed, such waiver could have a material adverse effect on Biopharma Co.’s business, financial condition or results of operations or the ability of stockholders to sell their shares after the Spin-Off, including, without limitation, as a result of illiquid trading due to the failure of Biopharma Co. common stock to be accepted for listing on a national securities exchange. If the AnaptysBio, Inc. Board waives any condition prior to the effectiveness of the registration statement on Form 10 of which this information statement forms a part, or changes the terms of the Spin-Off, and the result of such waiver or change is material to AnaptysBio, Inc. stockholders, we will file an amendment to the registration statement on Form 10 of which this information statement forms a part, to revise the disclosure in this information statement accordingly.</w:t>
      </w:r>
    </w:p>
    <w:p>
      <w:pPr>
        <w:spacing w:after="0" w:line="18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the event that AnaptysBio, Inc. waives a condition or changes the terms of the Spin-Off after this registration statement on Form 10 becomes effective and such waiver or change is material to AnaptysBio, Inc. stockholders, we would communicate such waiver or change to AnaptysBio, Inc.’s stockholders by filing a Form 8-K describing the waiver or change.</w:t>
      </w:r>
    </w:p>
    <w:p>
      <w:pPr>
        <w:spacing w:after="0" w:line="176"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fulfillment of the above conditions will not create any obligation on AnaptysBio, Inc.’s part to complete the Spin-Off. We are not aware of any material federal, foreign, or state regulatory requirements with which we must comply, other than SEC rules and regulations, or any material approvals that we must obtain, other than the approval for listing of shares of our common stock and the SEC’s declaration of the effectiveness of the registration statement, in connection with the Spin-Off. AnaptysBio, Inc. may at any time until the Spin-Off decide to abandon the Spin-Off or modify or change the terms of the Spin-Off. Notwithstanding AnaptysBio, Inc.’s contractual ability to waive the conditions in the Separation and Distribution Agreement, AnaptysBio, Inc. cannot proceed with the Spin-Off if there is a stop order, injunction or law preventing the consummation of the separation or the distribution, if the registration statement on Form 10 of which this information statement is a part is not declared effective by the Securities and Exchange Commission or if such registration statement does not remain effective.</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Reasons for Furnishing This Information Statement</w:t>
      </w:r>
    </w:p>
    <w:p>
      <w:pPr>
        <w:spacing w:after="0" w:line="121"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We are furnishing this information statement solely to provide information to AnaptysBio, Inc.’s stockholders who will receive shares of Biopharma Co. common stock in the Spin-Off. You should not construe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this information statement as an inducement or encouragement to buy, hold, or sell any of our securities or any securities of AnaptysBio, Inc. or Biopharma Co. We believe that the information contained in this information statement is accurate as of the date set forth on the cover. Changes to the information contained in this information statement may occur after that date, and neither we nor AnaptysBio, Inc. undertakes any obligation to update the information except in the normal course of our and AnaptysBio, Inc.’s public disclosure obligations and practices.</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80"/>
          </w:cols>
          <w:pgMar w:left="320" w:top="455" w:right="5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We have never declared or paid cash or stock dividends on shares of our common stock. We currently intend to retain all available funds and any future earnings for use in the operation of our business and do not anticipate paying any dividends on shares of our common stock in the foreseeable future. Any future determination to declare dividends on shares of common stock will be made at the discretion of our Board and will depend on our financial condition, operating results, capital requirements, general business conditions and other factors that our Board may deem relevant.</w:t>
      </w:r>
    </w:p>
    <w:p>
      <w:pPr>
        <w:spacing w:after="0" w:line="9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80"/>
          </w:cols>
          <w:pgMar w:left="320" w:top="455" w:right="5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table sets forth our capitalization as of December 31, 2025, on a historical basis and on a pro forma basis to give effect to the pro forma adjustments included in our unaudited pro forma financial information. The information below is not necessarily indicative of what our capitalization would have been had the Spin-Off and the related transactions been completed as of December 31, 2025. In addition, the information below is not necessarily indicative of our future capitalization. This table should be read in conjunction with “</w:t>
      </w:r>
      <w:r>
        <w:rPr>
          <w:rFonts w:ascii="Times New Roman" w:cs="Times New Roman" w:eastAsia="Times New Roman" w:hAnsi="Times New Roman"/>
          <w:sz w:val="18"/>
          <w:szCs w:val="18"/>
          <w:i w:val="1"/>
          <w:iCs w:val="1"/>
          <w:color w:val="auto"/>
        </w:rPr>
        <w:t>Unaudited Pro Forma Combined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our combined unaudited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and the corresponding notes included elsewhere in this information statement.</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6"/>
          </w:tcPr>
          <w:p>
            <w:pPr>
              <w:jc w:val="center"/>
              <w:ind w:left="6"/>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300" w:type="dxa"/>
            <w:vAlign w:val="bottom"/>
            <w:tcBorders>
              <w:bottom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520" w:type="dxa"/>
            <w:vAlign w:val="bottom"/>
          </w:tcPr>
          <w:p>
            <w:pPr>
              <w:spacing w:after="0"/>
              <w:rPr>
                <w:sz w:val="10"/>
                <w:szCs w:val="10"/>
                <w:color w:val="auto"/>
              </w:rPr>
            </w:pPr>
          </w:p>
        </w:tc>
        <w:tc>
          <w:tcPr>
            <w:tcW w:w="880" w:type="dxa"/>
            <w:vAlign w:val="bottom"/>
            <w:gridSpan w:val="4"/>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r>
              <w:rPr>
                <w:rFonts w:ascii="Times New Roman" w:cs="Times New Roman" w:eastAsia="Times New Roman" w:hAnsi="Times New Roman"/>
                <w:sz w:val="9"/>
                <w:szCs w:val="9"/>
                <w:b w:val="1"/>
                <w:bCs w:val="1"/>
                <w:color w:val="auto"/>
              </w:rPr>
              <w:t>(1)</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520" w:type="dxa"/>
            <w:vAlign w:val="bottom"/>
          </w:tcPr>
          <w:p>
            <w:pPr>
              <w:spacing w:after="0"/>
              <w:rPr>
                <w:sz w:val="15"/>
                <w:szCs w:val="15"/>
                <w:color w:val="auto"/>
              </w:rPr>
            </w:pPr>
          </w:p>
        </w:tc>
        <w:tc>
          <w:tcPr>
            <w:tcW w:w="1620" w:type="dxa"/>
            <w:vAlign w:val="bottom"/>
            <w:gridSpan w:val="5"/>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920" w:type="dxa"/>
            <w:vAlign w:val="bottom"/>
            <w:tcBorders>
              <w:top w:val="single" w:sz="8" w:color="auto"/>
            </w:tcBorders>
            <w:gridSpan w:val="7"/>
          </w:tcPr>
          <w:p>
            <w:pPr>
              <w:jc w:val="right"/>
              <w:ind w:right="218"/>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share</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and par value data)</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Cash and cash equivalents</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 </w:t>
            </w:r>
          </w:p>
        </w:tc>
        <w:tc>
          <w:tcPr>
            <w:tcW w:w="300" w:type="dxa"/>
            <w:vAlign w:val="bottom"/>
            <w:tcBorders>
              <w:right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4"/>
                <w:szCs w:val="4"/>
                <w:color w:val="auto"/>
                <w:w w:val="98"/>
              </w:rPr>
              <w:t> </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 net of current portion</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Net Parent Investment from AnaptysBio, Inc.</w:t>
            </w:r>
            <w:r>
              <w:rPr>
                <w:rFonts w:ascii="Times New Roman" w:cs="Times New Roman" w:eastAsia="Times New Roman" w:hAnsi="Times New Roman"/>
                <w:sz w:val="25"/>
                <w:szCs w:val="25"/>
                <w:color w:val="auto"/>
                <w:vertAlign w:val="superscript"/>
              </w:rPr>
              <w:t>(2).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734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$0.001 par value; no shares authorized, issued or outstanding, actual or as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adjusted</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7340" w:type="dxa"/>
            <w:vAlign w:val="bottom"/>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shares authorized,             shares issued and</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actual;             shares authorized,  </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2960" w:type="dxa"/>
            <w:vAlign w:val="bottom"/>
            <w:gridSpan w:val="3"/>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shares issued and outstanding,</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adjusted</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right w:val="single" w:sz="8" w:color="CCEEFF"/>
            </w:tcBorders>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9"/>
                <w:szCs w:val="19"/>
                <w:color w:val="auto"/>
              </w:rPr>
            </w:pPr>
          </w:p>
        </w:tc>
        <w:tc>
          <w:tcPr>
            <w:tcW w:w="1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3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4"/>
                <w:szCs w:val="4"/>
                <w:color w:val="auto"/>
                <w:w w:val="98"/>
              </w:rPr>
              <w:t> </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bottom w:val="single" w:sz="8" w:color="auto"/>
            </w:tcBorders>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gridSpan w:val="2"/>
          </w:tcPr>
          <w:p>
            <w:pPr>
              <w:spacing w:after="0"/>
              <w:rPr>
                <w:sz w:val="11"/>
                <w:szCs w:val="11"/>
                <w:color w:val="auto"/>
              </w:rPr>
            </w:pPr>
          </w:p>
        </w:tc>
        <w:tc>
          <w:tcPr>
            <w:tcW w:w="3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20" w:type="dxa"/>
            <w:vAlign w:val="bottom"/>
            <w:gridSpan w:val="11"/>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(1)   Concurrent with the date of separation, we expect to have $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5620" w:type="dxa"/>
            <w:vAlign w:val="bottom"/>
            <w:gridSpan w:val="11"/>
          </w:tcPr>
          <w:p>
            <w:pPr>
              <w:ind w:left="40"/>
              <w:spacing w:after="0"/>
              <w:rPr>
                <w:sz w:val="20"/>
                <w:szCs w:val="20"/>
                <w:color w:val="auto"/>
              </w:rPr>
            </w:pPr>
            <w:r>
              <w:rPr>
                <w:rFonts w:ascii="Times New Roman" w:cs="Times New Roman" w:eastAsia="Times New Roman" w:hAnsi="Times New Roman"/>
                <w:sz w:val="18"/>
                <w:szCs w:val="18"/>
                <w:color w:val="auto"/>
                <w:w w:val="99"/>
              </w:rPr>
              <w:t>million in cash and cash equivalents as reflected on the Company’s pro forma</w:t>
            </w:r>
          </w:p>
        </w:tc>
        <w:tc>
          <w:tcPr>
            <w:tcW w:w="0" w:type="dxa"/>
            <w:vAlign w:val="bottom"/>
          </w:tcPr>
          <w:p>
            <w:pPr>
              <w:spacing w:after="0"/>
              <w:rPr>
                <w:sz w:val="1"/>
                <w:szCs w:val="1"/>
                <w:color w:val="auto"/>
              </w:rPr>
            </w:pPr>
          </w:p>
        </w:tc>
      </w:tr>
      <w:tr>
        <w:trPr>
          <w:trHeight w:val="216"/>
        </w:trPr>
        <w:tc>
          <w:tcPr>
            <w:tcW w:w="47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combined balance sheet.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   Refers to AnaptysBio, Inc.’s investment in the Company.</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80" w:type="dxa"/>
            <w:vAlign w:val="bottom"/>
          </w:tcPr>
          <w:p>
            <w:pPr>
              <w:jc w:val="right"/>
              <w:ind w:right="2350"/>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 PRO FORMA COMBINED FINANCIAL STATEMENTS</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combined financial statements consist of the unaudited pro forma combined balance sheet as of December 31, 2025 and the unaudited pro forma combined statements of operations for the year ended December 31, 2025. These unaudited pro forma combined statements were derived from Biopharma Co.’s historical combined financial statements included elsewhere in this information statement. The unaudited pro forma combined balance sheet gives effect to the Spin-Off and related transactions described below as if they had occurred on December 31, 2025, the last balance sheet date. The unaudited pro forma combined statement of operations for the year ended December 31, 2025 give effect to the Spin-Off and the related transactions described below as if they occurred as of January 1, 2025, the first day of the last fiscal year.</w:t>
      </w:r>
    </w:p>
    <w:p>
      <w:pPr>
        <w:spacing w:after="0" w:line="18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financial statements have been prepared to reflect transaction accounting and autonomous entity adjustments to present the financial condition and results of operations as if Biopharma Co. was a separate standalone entity and are based on assumptions that management believes are reasonable given the information currently available.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unaudited pro forma combined financial statements give effect to the following:</w:t>
      </w:r>
    </w:p>
    <w:p>
      <w:pPr>
        <w:sectPr>
          <w:pgSz w:w="11900" w:h="16838" w:orient="portrait"/>
          <w:cols w:equalWidth="0" w:num="1">
            <w:col w:w="11120"/>
          </w:cols>
          <w:pgMar w:left="320" w:top="455" w:right="459" w:bottom="1440" w:gutter="0" w:footer="0" w:header="0"/>
        </w:sectPr>
      </w:pP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expected cash distribution of approximately $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million by AnaptysBio, Inc. to Biopharma Co.;</w:t>
      </w:r>
    </w:p>
    <w:p>
      <w:pPr>
        <w:spacing w:after="0" w:line="142" w:lineRule="exact"/>
        <w:rPr>
          <w:sz w:val="20"/>
          <w:szCs w:val="20"/>
          <w:color w:val="auto"/>
        </w:rPr>
      </w:pPr>
    </w:p>
    <w:p>
      <w:pPr>
        <w:sectPr>
          <w:pgSz w:w="11900" w:h="16838" w:orient="portrait"/>
          <w:cols w:equalWidth="0" w:num="4">
            <w:col w:w="720" w:space="360"/>
            <w:col w:w="3620" w:space="120"/>
            <w:col w:w="240" w:space="180"/>
            <w:col w:w="5880"/>
          </w:cols>
          <w:pgMar w:left="320" w:top="455" w:right="45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expected issuance of approximately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million shares of Biopharma Co. common stock;</w:t>
      </w:r>
    </w:p>
    <w:p>
      <w:pPr>
        <w:spacing w:after="0" w:line="142" w:lineRule="exact"/>
        <w:rPr>
          <w:sz w:val="20"/>
          <w:szCs w:val="20"/>
          <w:color w:val="auto"/>
        </w:rPr>
      </w:pPr>
    </w:p>
    <w:p>
      <w:pPr>
        <w:sectPr>
          <w:pgSz w:w="11900" w:h="16838" w:orient="portrait"/>
          <w:cols w:equalWidth="0" w:num="6">
            <w:col w:w="720" w:space="360"/>
            <w:col w:w="2940" w:space="140"/>
            <w:col w:w="40" w:space="140"/>
            <w:col w:w="40" w:space="140"/>
            <w:col w:w="40" w:space="140"/>
            <w:col w:w="6420"/>
          </w:cols>
          <w:pgMar w:left="320" w:top="455" w:right="459" w:bottom="1440" w:gutter="0" w:footer="0" w:header="0"/>
          <w:type w:val="continuous"/>
        </w:sectPr>
      </w:pPr>
    </w:p>
    <w:p>
      <w:pPr>
        <w:ind w:left="1080" w:right="8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certain agreements to be entered into by AnaptysBio, Inc. and Biopharma Co. in conjunction with the Spin-Off, as described in the information statement section titled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incremental income and costs expected to be incurred as an autonomous entity and specifically related to the Spin-Off;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as described in the accompanying notes to the unaudited pro forma combined financial statements.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Spin-Off, Biopharma Co. will enter into a Transition Services Agreement with AnaptysBio, Inc. The charges for such services are generally intended to allow Biopharma Co. to recover all of its direct and indirect costs. See “</w:t>
      </w:r>
      <w:r>
        <w:rPr>
          <w:rFonts w:ascii="Times New Roman" w:cs="Times New Roman" w:eastAsia="Times New Roman" w:hAnsi="Times New Roman"/>
          <w:sz w:val="18"/>
          <w:szCs w:val="18"/>
          <w:i w:val="1"/>
          <w:iCs w:val="1"/>
          <w:color w:val="auto"/>
        </w:rPr>
        <w:t>Certain Relationships and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Transactions—Agreements to be Entered into in Connection with the Spin-Off —Transition Services Agreement.</w:t>
      </w:r>
      <w:r>
        <w:rPr>
          <w:rFonts w:ascii="Times New Roman" w:cs="Times New Roman" w:eastAsia="Times New Roman" w:hAnsi="Times New Roman"/>
          <w:sz w:val="18"/>
          <w:szCs w:val="18"/>
          <w:color w:val="auto"/>
        </w:rPr>
        <w:t>” The costs under the Transition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are not expected to have a material impact on pro forma net income for the year ended December 31, 2025, and as a result no pro forma adjustments have been made for these costs, as the costs for these services under the Transition Services Agreement are not expected to be materially different from the amounts allocated for these services in the historical combined statement of operations for that period.</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financial statements were prepared in accordance with Article 11 of Regulation S-X. The unaudited pro forma combined financial statements are for informational purposes only and do not purport to represent what Biopharma Co.’s financial position and results of operations actually would have been had the Spin-Off and the related transactions occurred on the dates indicated, or to project Biopharma Co.’s financial performance for any future period. The unaudited pro forma combined financial statements are based on information and assumptions, which are described in the accompanying notes.</w:t>
      </w:r>
    </w:p>
    <w:p>
      <w:pPr>
        <w:spacing w:after="0" w:line="183" w:lineRule="exact"/>
        <w:rPr>
          <w:sz w:val="20"/>
          <w:szCs w:val="20"/>
          <w:color w:val="auto"/>
        </w:rPr>
      </w:pPr>
    </w:p>
    <w:p>
      <w:pPr>
        <w:jc w:val="both"/>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The Biopharma Co. historical combined financial statements, which were the basis for the unaudited pro forma combined financial statements, were prepared on a carve-out basis, as Biopharma Co. did not operate as a separate, independent company for the periods presented. Accordingly, the combined financial statements reflect an allocation of certain corporate costs for corporate administrative services and functions. These services and</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functions included, but were not limited to, senior management, legal, human resources, finance and accounting, treasury, information technology services and support, cash management, payroll processing, pension and benefit administration, and other shared services. These historical allocations may not be indicative of Biopharma Co.’s future cost structure.</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unaudited pro forma combined financial statements have been prepared to include transaction accounting adjustments (including the impact of changes to our legal entity structure in anticipation of the Spin-Off) and autonomous entity adjustments to reflect the financial condition and results of operations as if we were a standalone entity. Transaction accounting adjustments have been presented to show the impact and associated cost as a result of the legal separation from AnaptysBio, Inc. Autonomous entity adjustments have been presented to show the impact of items such as certain agreements we intend to enter into with AnaptysBio, Inc. and certain incremental costs expected to be incurred by Biopharma Co. as an autonomous entity. Actual future costs incurred may differ from these estimates.</w:t>
      </w:r>
    </w:p>
    <w:p>
      <w:pPr>
        <w:spacing w:after="0" w:line="185"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financial statements reported below should be read in conjunction with the section entitled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 as well as the historical combined financial statements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notes thereto included elsewhere in this information statement. For factors that could cause actual results to differ materially from those presented in the unaudited pro forma combined financial statements, see “</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elsewhere in this information statement.</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BIOPHARMA COMPANY,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COMBINED BALANCE SHEET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Autonomous</w:t>
            </w: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380" w:type="dxa"/>
            <w:vAlign w:val="bottom"/>
          </w:tcPr>
          <w:p>
            <w:pPr>
              <w:spacing w:after="0"/>
              <w:rPr>
                <w:sz w:val="12"/>
                <w:szCs w:val="12"/>
                <w:color w:val="auto"/>
              </w:rPr>
            </w:pPr>
          </w:p>
        </w:tc>
        <w:tc>
          <w:tcPr>
            <w:tcW w:w="8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Entity</w:t>
            </w:r>
          </w:p>
        </w:tc>
        <w:tc>
          <w:tcPr>
            <w:tcW w:w="380" w:type="dxa"/>
            <w:vAlign w:val="bottom"/>
          </w:tcPr>
          <w:p>
            <w:pPr>
              <w:spacing w:after="0"/>
              <w:rPr>
                <w:sz w:val="12"/>
                <w:szCs w:val="12"/>
                <w:color w:val="auto"/>
              </w:rPr>
            </w:pPr>
          </w:p>
        </w:tc>
        <w:tc>
          <w:tcPr>
            <w:tcW w:w="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20" w:type="dxa"/>
            <w:vAlign w:val="bottom"/>
            <w:tcBorders>
              <w:top w:val="single" w:sz="8" w:color="CCEEFF"/>
            </w:tcBorders>
            <w:shd w:val="clear" w:color="auto" w:fill="CCEEFF"/>
          </w:tcPr>
          <w:p>
            <w:pPr>
              <w:ind w:left="294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9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60" w:type="dxa"/>
            <w:vAlign w:val="bottom"/>
            <w:gridSpan w:val="2"/>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9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160" w:type="dxa"/>
            <w:vAlign w:val="bottom"/>
            <w:gridSpan w:val="2"/>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ind w:left="21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vMerge w:val="continue"/>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16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Parent Investment</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19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1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160" w:type="dxa"/>
            <w:vAlign w:val="bottom"/>
            <w:gridSpan w:val="2"/>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94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2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BIOPHARMA COMPANY,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Autonomous</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1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Entity</w:t>
            </w:r>
          </w:p>
        </w:tc>
        <w:tc>
          <w:tcPr>
            <w:tcW w:w="160" w:type="dxa"/>
            <w:vAlign w:val="bottom"/>
          </w:tcPr>
          <w:p>
            <w:pPr>
              <w:spacing w:after="0"/>
              <w:rPr>
                <w:sz w:val="12"/>
                <w:szCs w:val="12"/>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Loss from operations</w:t>
            </w:r>
          </w:p>
        </w:tc>
        <w:tc>
          <w:tcPr>
            <w:tcW w:w="2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net</w:t>
            </w:r>
          </w:p>
        </w:tc>
        <w:tc>
          <w:tcPr>
            <w:tcW w:w="2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available for sale securities</w:t>
            </w:r>
          </w:p>
        </w:tc>
        <w:tc>
          <w:tcPr>
            <w:tcW w:w="2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Comprehensive loss</w:t>
            </w:r>
          </w:p>
        </w:tc>
        <w:tc>
          <w:tcPr>
            <w:tcW w:w="2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12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STATEMENTS</w:t>
      </w:r>
    </w:p>
    <w:p>
      <w:pPr>
        <w:spacing w:after="0" w:line="229"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For further information regarding the historical combined financial statements of Biopharma Co., refer to the combined financial statements and the corresponding notes thereto included elsewhere in this information statement. The unaudited pro forma combined balance sheet as of December 31, 2025 and the unaudited pro forma combined statement of operations for the year ended December 31, 2025 include adjustments related to the following:</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Transaction Accounting Adjustments</w:t>
      </w:r>
    </w:p>
    <w:p>
      <w:pPr>
        <w:spacing w:after="0" w:line="135" w:lineRule="exact"/>
        <w:rPr>
          <w:sz w:val="20"/>
          <w:szCs w:val="20"/>
          <w:color w:val="auto"/>
        </w:rPr>
      </w:pPr>
    </w:p>
    <w:p>
      <w:pPr>
        <w:ind w:left="120"/>
        <w:spacing w:after="0"/>
        <w:tabs>
          <w:tab w:leader="none" w:pos="520" w:val="left"/>
          <w:tab w:leader="none" w:pos="4920" w:val="left"/>
        </w:tabs>
        <w:rPr>
          <w:sz w:val="20"/>
          <w:szCs w:val="20"/>
          <w:color w:val="auto"/>
        </w:rPr>
      </w:pPr>
      <w:r>
        <w:rPr>
          <w:rFonts w:ascii="Times New Roman" w:cs="Times New Roman" w:eastAsia="Times New Roman" w:hAnsi="Times New Roman"/>
          <w:sz w:val="18"/>
          <w:szCs w:val="18"/>
          <w:color w:val="auto"/>
        </w:rPr>
        <w:t>(1)</w:t>
        <w:tab/>
        <w:t xml:space="preserve">In connection with the separation, we expect to retain $    </w:t>
      </w:r>
      <w:r>
        <w:rPr>
          <w:sz w:val="20"/>
          <w:szCs w:val="20"/>
          <w:color w:val="auto"/>
        </w:rPr>
        <w:tab/>
      </w:r>
      <w:r>
        <w:rPr>
          <w:rFonts w:ascii="Times New Roman" w:cs="Times New Roman" w:eastAsia="Times New Roman" w:hAnsi="Times New Roman"/>
          <w:sz w:val="17"/>
          <w:szCs w:val="17"/>
          <w:color w:val="auto"/>
        </w:rPr>
        <w:t>million in cash and cash equivalents from AnaptysBio, Inc.</w:t>
      </w:r>
    </w:p>
    <w:p>
      <w:pPr>
        <w:spacing w:after="0" w:line="131" w:lineRule="exact"/>
        <w:rPr>
          <w:sz w:val="20"/>
          <w:szCs w:val="20"/>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Distribution Date, AnaptysBio, Inc.’s net investment in Biopharma Co. will be adjusted to reflect the distribution of outstanding shares of</w:t>
      </w:r>
    </w:p>
    <w:p>
      <w:pPr>
        <w:spacing w:after="0" w:line="27" w:lineRule="exact"/>
        <w:rPr>
          <w:sz w:val="20"/>
          <w:szCs w:val="20"/>
          <w:color w:val="auto"/>
        </w:rPr>
      </w:pPr>
    </w:p>
    <w:p>
      <w:pPr>
        <w:ind w:left="540" w:right="60"/>
        <w:spacing w:after="0" w:line="253" w:lineRule="auto"/>
        <w:rPr>
          <w:sz w:val="20"/>
          <w:szCs w:val="20"/>
          <w:color w:val="auto"/>
        </w:rPr>
      </w:pPr>
      <w:r>
        <w:rPr>
          <w:rFonts w:ascii="Times New Roman" w:cs="Times New Roman" w:eastAsia="Times New Roman" w:hAnsi="Times New Roman"/>
          <w:sz w:val="18"/>
          <w:szCs w:val="18"/>
          <w:color w:val="auto"/>
        </w:rPr>
        <w:t>Biopharma Co. common stock to the stockholders of AnaptysBio, Inc. and will be allocated between shares of Biopharma Co. common stock and additional paid-in capital based on the number of shares of Biopharma Co. common stock outstanding at the Distribution Date. We have assumed the number of our shares of outstanding common stock based on the number of shares of AnaptysBio outstanding on       , and assuming a distribution ratio of       shares of Biopharma Co. common stock for every share of AnaptysBio, Inc. common stock outstanding. The actual number of shares of Biopharma Co. common stock issued will not be known until the Record Date.</w:t>
      </w:r>
    </w:p>
    <w:p>
      <w:pPr>
        <w:spacing w:after="0" w:line="92" w:lineRule="exact"/>
        <w:rPr>
          <w:sz w:val="20"/>
          <w:szCs w:val="20"/>
          <w:color w:val="auto"/>
        </w:rPr>
      </w:pPr>
    </w:p>
    <w:p>
      <w:pPr>
        <w:ind w:left="540" w:right="380" w:hanging="424"/>
        <w:spacing w:after="0" w:line="282"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distribution date, Biopharma Co. will generate reduced interest income due to lower cash and cash equivalents available to generate investment income.</w:t>
      </w:r>
    </w:p>
    <w:p>
      <w:pPr>
        <w:spacing w:after="0" w:line="26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Autonomous Entity Adjustments</w:t>
      </w:r>
    </w:p>
    <w:p>
      <w:pPr>
        <w:spacing w:after="0" w:line="134"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costs of certain services associated with transition agreements we intend to enter into with AnaptysBio, Inc. in conjunction with the</w:t>
      </w:r>
    </w:p>
    <w:p>
      <w:pPr>
        <w:spacing w:after="0" w:line="27" w:lineRule="exact"/>
        <w:rPr>
          <w:sz w:val="20"/>
          <w:szCs w:val="20"/>
          <w:color w:val="auto"/>
        </w:rPr>
      </w:pPr>
    </w:p>
    <w:p>
      <w:pPr>
        <w:ind w:left="540" w:right="20"/>
        <w:spacing w:after="0" w:line="260" w:lineRule="auto"/>
        <w:rPr>
          <w:sz w:val="20"/>
          <w:szCs w:val="20"/>
          <w:color w:val="auto"/>
        </w:rPr>
      </w:pPr>
      <w:r>
        <w:rPr>
          <w:rFonts w:ascii="Times New Roman" w:cs="Times New Roman" w:eastAsia="Times New Roman" w:hAnsi="Times New Roman"/>
          <w:sz w:val="18"/>
          <w:szCs w:val="18"/>
          <w:color w:val="auto"/>
        </w:rPr>
        <w:t>Spin-Off. Included in the unaudited proforma condensed combined statement of operations for the year ended December 31, 2025 are adjustments to General and administrative expenses of $    million.</w:t>
      </w:r>
    </w:p>
    <w:p>
      <w:pPr>
        <w:spacing w:after="0" w:line="87" w:lineRule="exact"/>
        <w:rPr>
          <w:sz w:val="20"/>
          <w:szCs w:val="20"/>
          <w:color w:val="auto"/>
        </w:rPr>
      </w:pPr>
    </w:p>
    <w:p>
      <w:pPr>
        <w:ind w:left="540" w:right="380" w:hanging="424"/>
        <w:spacing w:after="0" w:line="266"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tax effects of the autonomous entity adjustments at the applicable statutory income tax rates in the respective jurisdictions. The effective tax rate of Biopharma Co. could be different (either higher or lower) depending on activities in connection with or subsequent to the distribution.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00"/>
          </w:cols>
          <w:pgMar w:left="320" w:top="455" w:right="4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We are a clinical-stage biotechnology company focused on delivering innovative immunology therapeutics for autoimmune and inflammatory diseases. Our clinical-stage pipeline includes rosnilimab, a selective pathogenic T cell depleter, for which we completed a Phase 2b trial for the treatment of moderate-to-severe rheumatoid arthritis (“RA”), ANB033, a CD122 antagonist, in a Phase 1b trial for celiac disease (“CeD”) and eosinophilic esophagitis (“EoE”), and ANB101, a BDCA2 modulator, in a Phase 1a trial. Certain terms used in this section are defined in the section “</w:t>
      </w:r>
      <w:r>
        <w:rPr>
          <w:rFonts w:ascii="Times New Roman" w:cs="Times New Roman" w:eastAsia="Times New Roman" w:hAnsi="Times New Roman"/>
          <w:sz w:val="18"/>
          <w:szCs w:val="18"/>
          <w:i w:val="1"/>
          <w:iCs w:val="1"/>
          <w:color w:val="auto"/>
        </w:rPr>
        <w:t>Glossary of Terms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Our Wholly Owned Clinical Stage Pipeline</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antibodies are in development to treat inflammatory diseases. We believe these molecules have potential applicability across a broad range of autoimmune and inflammatory diseases, including in gastroenterology, rheumatology, dermatology, respiratory, and other therapeutic areas.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Rosnilimab</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Rosnilimab is an IgG1 antibody that directly targets pathogenic T cells, such as activated Tph/Tfh and T effector cells, in the periphery or inflamed tissue. These T cells, when activated, proliferate and migrate, and secrete the inflammatory cytokines that are the drivers of autoimmune and inflammatory diseases. Rosnilimab is designed to selectively deplete pathogenic T cells in both inflamed tissue and the periphery while sparing non-pathogenic T cells, including naïve T cells, to preserve overall immune function and restore immune homeostasis. This drives specific immunological outcomes, such as a reduction in T cell proliferation, migration and cytokine secretion, and a reduction of plasma cell generation and autoantibody levels. We announced top-line data from a healthy volunteer Phase 1 trial of rosnilimab in November 2021 that supported advancement of rosnilimab into subsequent patient trials. A total of 144 subjects were enrolled in the randomized, double-blind, placebo-controlled healthy volunteer Phase 1 trial, where single ascending dose (“SAD”) cohorts received subcutaneous (“SC”) or intravenous (“IV”) single doses of rosnilimab up to 600mg or placebo, while multiple ascending dose (“MAD”) cohorts received four weekly subcutaneous doses of rosnilimab ranging up to 400mg or placebo. Rosnilimab was generally well-tolerated and no dose-limiting toxicities were observed. Rosnilimab demonstrated a sustained systemic exposure and dose-proportionality with an estimated two-week half-life for subcutaneous and IV routes of administration.</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February 2025, we announced initial data that was updated in June 2025, from rosnilimab’s randomized, placebo-controlled, global 424-patient, Phase 2b clinical trial for moderate-to-severe rheumatoid arthritis. Patients were randomized to receive either 100mg of subcutaneous rosnilimab every four weeks (Q4W), 400mg Q4W, 600mg every two weeks, or placebo.</w:t>
      </w:r>
    </w:p>
    <w:p>
      <w:pPr>
        <w:spacing w:after="0" w:line="176"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During the three-month placebo-controlled period, the trial achieved its primary endpoint by observing the reduction of disease activity using the disease activity score, 28 joints (DAS-28) C-Reactive Protein (“CRP”) score as well as ACR20 response (an accepted Phase 3 registrational endpoint) at Week 12 in all three doses of rosnilimab compared to placebo. Rosnilimab achieved its secondary endpoint by demonstrating statistical significance in at least one dose and numerical superiority at all doses, including once monthly administration, on ACR20, ACR50 and with respect to the clinical disease activity index (“CDAI”) low disease activity (“LDA”) score at Week 12. Specifically, at Week 12, ACR20 achieved statistical significance at 100 mg (p &lt; 0.05), 400 mg (p &lt; 0.01), and 600 mg (p &lt; 0.001); ACR50 at 600 mg (p &lt; 0.05); and CDAI LDA at 100 mg (p &lt; 0.05) and 400 mg (p &lt; 0.01).</w:t>
      </w:r>
    </w:p>
    <w:p>
      <w:pPr>
        <w:spacing w:after="0" w:line="173"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Following completion of the Week 14 visit, 69% (or 220 of the 318) rosnilimab-treated patients who achieved CDAI LDA at this timepoint continued their assigned treatment through six months in a blinded,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all-active treatment period. At six months, rosnilimab results demonstrated deepening of responses through six months on CDAI LDA, CDAI remission and ACR70 and independent of prior treatments, including anti-TNFa, anti-IL6R or JAK inhibitors. Importantly, this was particularly observed in b/tsDMARD-experienced patients for the 400mg Q4W and 600mg Q2W doses, showing a dose response relative to the 100mg Q4W dose. Furthermore, Week 28 clinical responses across multiple measures, including CDAI LDA, mean CDAI, mean DAS28-CRP and ACR50/70, were durable off-drug through at least three months after the last rosnilimab dose and we believe suggests potential for extended dosing (e.g., Q8W/Q12W) after initial monthly dosing. Due to the trial design, max response rates for rosnilimab have not yet been observed as strict criteria at Week 14 prevented additional patients with meaningful improvement from continuing treatment in the trial.</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table summarizing the results for primary and secondary endpoints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Efficacy Measure</w:t>
            </w:r>
          </w:p>
        </w:tc>
        <w:tc>
          <w:tcPr>
            <w:tcW w:w="1600" w:type="dxa"/>
            <w:vAlign w:val="bottom"/>
          </w:tcPr>
          <w:p>
            <w:pPr>
              <w:spacing w:after="0"/>
              <w:rPr>
                <w:sz w:val="13"/>
                <w:szCs w:val="13"/>
                <w:color w:val="auto"/>
              </w:rPr>
            </w:pPr>
          </w:p>
        </w:tc>
        <w:tc>
          <w:tcPr>
            <w:tcW w:w="126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Placebo</w:t>
            </w: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Rosnilimab</w:t>
            </w: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Rosnilimab</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Rosnilimab</w:t>
            </w:r>
          </w:p>
        </w:tc>
        <w:tc>
          <w:tcPr>
            <w:tcW w:w="0" w:type="dxa"/>
            <w:vAlign w:val="bottom"/>
          </w:tcPr>
          <w:p>
            <w:pPr>
              <w:spacing w:after="0"/>
              <w:rPr>
                <w:sz w:val="1"/>
                <w:szCs w:val="1"/>
                <w:color w:val="auto"/>
              </w:rPr>
            </w:pPr>
          </w:p>
        </w:tc>
      </w:tr>
      <w:tr>
        <w:trPr>
          <w:trHeight w:val="167"/>
        </w:trPr>
        <w:tc>
          <w:tcPr>
            <w:tcW w:w="3000" w:type="dxa"/>
            <w:vAlign w:val="bottom"/>
            <w:gridSpan w:val="3"/>
            <w:vMerge w:val="continue"/>
          </w:tcPr>
          <w:p>
            <w:pPr>
              <w:spacing w:after="0"/>
              <w:rPr>
                <w:sz w:val="14"/>
                <w:szCs w:val="14"/>
                <w:color w:val="auto"/>
              </w:rPr>
            </w:pPr>
          </w:p>
        </w:tc>
        <w:tc>
          <w:tcPr>
            <w:tcW w:w="16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580" w:type="dxa"/>
            <w:vAlign w:val="bottom"/>
            <w:gridSpan w:val="2"/>
          </w:tcPr>
          <w:p>
            <w:pPr>
              <w:jc w:val="right"/>
              <w:ind w:right="800"/>
              <w:spacing w:after="0" w:line="160" w:lineRule="exact"/>
              <w:rPr>
                <w:sz w:val="20"/>
                <w:szCs w:val="20"/>
                <w:color w:val="auto"/>
              </w:rPr>
            </w:pPr>
            <w:r>
              <w:rPr>
                <w:rFonts w:ascii="Times New Roman" w:cs="Times New Roman" w:eastAsia="Times New Roman" w:hAnsi="Times New Roman"/>
                <w:sz w:val="14"/>
                <w:szCs w:val="14"/>
                <w:b w:val="1"/>
                <w:bCs w:val="1"/>
                <w:color w:val="auto"/>
              </w:rPr>
              <w:t>100mg Q4W</w:t>
            </w:r>
          </w:p>
        </w:tc>
        <w:tc>
          <w:tcPr>
            <w:tcW w:w="1580" w:type="dxa"/>
            <w:vAlign w:val="bottom"/>
            <w:gridSpan w:val="2"/>
          </w:tcPr>
          <w:p>
            <w:pPr>
              <w:jc w:val="right"/>
              <w:ind w:right="800"/>
              <w:spacing w:after="0" w:line="160" w:lineRule="exact"/>
              <w:rPr>
                <w:sz w:val="20"/>
                <w:szCs w:val="20"/>
                <w:color w:val="auto"/>
              </w:rPr>
            </w:pPr>
            <w:r>
              <w:rPr>
                <w:rFonts w:ascii="Times New Roman" w:cs="Times New Roman" w:eastAsia="Times New Roman" w:hAnsi="Times New Roman"/>
                <w:sz w:val="14"/>
                <w:szCs w:val="14"/>
                <w:b w:val="1"/>
                <w:bCs w:val="1"/>
                <w:color w:val="auto"/>
              </w:rPr>
              <w:t>400mg Q4W</w:t>
            </w:r>
          </w:p>
        </w:tc>
        <w:tc>
          <w:tcPr>
            <w:tcW w:w="110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600mg Q2W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(N=106)</w:t>
            </w:r>
          </w:p>
        </w:tc>
        <w:tc>
          <w:tcPr>
            <w:tcW w:w="6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(N=106)</w:t>
            </w:r>
          </w:p>
        </w:tc>
        <w:tc>
          <w:tcPr>
            <w:tcW w:w="8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(N=107)</w:t>
            </w:r>
          </w:p>
        </w:tc>
        <w:tc>
          <w:tcPr>
            <w:tcW w:w="8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(N=105)</w:t>
            </w:r>
          </w:p>
        </w:tc>
        <w:tc>
          <w:tcPr>
            <w:tcW w:w="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86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Primary Endpoint</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DAS28-CRP at Week 12</w:t>
            </w:r>
          </w:p>
        </w:tc>
        <w:tc>
          <w:tcPr>
            <w:tcW w:w="1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(mean change from baseline)</w:t>
            </w:r>
          </w:p>
        </w:tc>
        <w:tc>
          <w:tcPr>
            <w:tcW w:w="28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-1.69</w:t>
            </w: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-2.06**</w:t>
            </w: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-2.12**</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44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Select Secondary Endpoint^</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86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 of participants)</w:t>
            </w: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0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ACR20 </w:t>
            </w:r>
            <w:r>
              <w:rPr>
                <w:rFonts w:ascii="Times New Roman" w:cs="Times New Roman" w:eastAsia="Times New Roman" w:hAnsi="Times New Roman"/>
                <w:sz w:val="18"/>
                <w:szCs w:val="18"/>
                <w:color w:val="auto"/>
              </w:rPr>
              <w:t>at Week 12^</w:t>
            </w:r>
          </w:p>
        </w:tc>
        <w:tc>
          <w:tcPr>
            <w:tcW w:w="2860" w:type="dxa"/>
            <w:vAlign w:val="bottom"/>
            <w:gridSpan w:val="3"/>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rPr>
              <w:t>52.8</w:t>
            </w:r>
          </w:p>
        </w:tc>
        <w:tc>
          <w:tcPr>
            <w:tcW w:w="15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68.9*</w:t>
            </w: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70.1**</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324"/>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ACR50 </w:t>
            </w:r>
            <w:r>
              <w:rPr>
                <w:rFonts w:ascii="Times New Roman" w:cs="Times New Roman" w:eastAsia="Times New Roman" w:hAnsi="Times New Roman"/>
                <w:sz w:val="18"/>
                <w:szCs w:val="18"/>
                <w:color w:val="auto"/>
              </w:rPr>
              <w:t>at Week 12^</w:t>
            </w:r>
          </w:p>
        </w:tc>
        <w:tc>
          <w:tcPr>
            <w:tcW w:w="2860" w:type="dxa"/>
            <w:vAlign w:val="bottom"/>
            <w:gridSpan w:val="3"/>
          </w:tcPr>
          <w:p>
            <w:pPr>
              <w:jc w:val="center"/>
              <w:ind w:left="1170"/>
              <w:spacing w:after="0"/>
              <w:rPr>
                <w:sz w:val="20"/>
                <w:szCs w:val="20"/>
                <w:color w:val="auto"/>
              </w:rPr>
            </w:pPr>
            <w:r>
              <w:rPr>
                <w:rFonts w:ascii="Times New Roman" w:cs="Times New Roman" w:eastAsia="Times New Roman" w:hAnsi="Times New Roman"/>
                <w:sz w:val="18"/>
                <w:szCs w:val="18"/>
                <w:color w:val="auto"/>
              </w:rPr>
              <w:t>33.0</w:t>
            </w: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44.3</w:t>
            </w: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36.4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Week 28</w:t>
            </w:r>
          </w:p>
        </w:tc>
        <w:tc>
          <w:tcPr>
            <w:tcW w:w="1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81"/>
              </w:rPr>
              <w:t>— </w:t>
            </w: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45.3</w:t>
            </w: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48.6</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324"/>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ACR70 </w:t>
            </w:r>
            <w:r>
              <w:rPr>
                <w:rFonts w:ascii="Times New Roman" w:cs="Times New Roman" w:eastAsia="Times New Roman" w:hAnsi="Times New Roman"/>
                <w:sz w:val="18"/>
                <w:szCs w:val="18"/>
                <w:color w:val="auto"/>
              </w:rPr>
              <w:t>at Week 12^</w:t>
            </w:r>
          </w:p>
        </w:tc>
        <w:tc>
          <w:tcPr>
            <w:tcW w:w="2860" w:type="dxa"/>
            <w:vAlign w:val="bottom"/>
            <w:gridSpan w:val="3"/>
          </w:tcPr>
          <w:p>
            <w:pPr>
              <w:jc w:val="center"/>
              <w:ind w:left="1170"/>
              <w:spacing w:after="0"/>
              <w:rPr>
                <w:sz w:val="20"/>
                <w:szCs w:val="20"/>
                <w:color w:val="auto"/>
              </w:rPr>
            </w:pPr>
            <w:r>
              <w:rPr>
                <w:rFonts w:ascii="Times New Roman" w:cs="Times New Roman" w:eastAsia="Times New Roman" w:hAnsi="Times New Roman"/>
                <w:sz w:val="18"/>
                <w:szCs w:val="18"/>
                <w:color w:val="auto"/>
              </w:rPr>
              <w:t>17.9</w:t>
            </w: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21.7</w:t>
            </w: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21.5</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Week 28</w:t>
            </w:r>
          </w:p>
        </w:tc>
        <w:tc>
          <w:tcPr>
            <w:tcW w:w="1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81"/>
              </w:rPr>
              <w:t>— </w:t>
            </w: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40.6</w:t>
            </w: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36.4</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324"/>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CDAI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10 (LDA) </w:t>
            </w:r>
            <w:r>
              <w:rPr>
                <w:rFonts w:ascii="Times New Roman" w:cs="Times New Roman" w:eastAsia="Times New Roman" w:hAnsi="Times New Roman"/>
                <w:sz w:val="18"/>
                <w:szCs w:val="18"/>
                <w:color w:val="auto"/>
              </w:rPr>
              <w:t>at Week 12^</w:t>
            </w:r>
          </w:p>
        </w:tc>
        <w:tc>
          <w:tcPr>
            <w:tcW w:w="2860" w:type="dxa"/>
            <w:vAlign w:val="bottom"/>
            <w:gridSpan w:val="3"/>
          </w:tcPr>
          <w:p>
            <w:pPr>
              <w:jc w:val="center"/>
              <w:ind w:left="1170"/>
              <w:spacing w:after="0"/>
              <w:rPr>
                <w:sz w:val="20"/>
                <w:szCs w:val="20"/>
                <w:color w:val="auto"/>
              </w:rPr>
            </w:pPr>
            <w:r>
              <w:rPr>
                <w:rFonts w:ascii="Times New Roman" w:cs="Times New Roman" w:eastAsia="Times New Roman" w:hAnsi="Times New Roman"/>
                <w:sz w:val="18"/>
                <w:szCs w:val="18"/>
                <w:color w:val="auto"/>
              </w:rPr>
              <w:t>31.1</w:t>
            </w:r>
          </w:p>
        </w:tc>
        <w:tc>
          <w:tcPr>
            <w:tcW w:w="15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46.2*</w:t>
            </w: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49.5**</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Week 28</w:t>
            </w:r>
          </w:p>
        </w:tc>
        <w:tc>
          <w:tcPr>
            <w:tcW w:w="1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81"/>
              </w:rPr>
              <w:t>— </w:t>
            </w: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52.8</w:t>
            </w: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54.2</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44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Select Exploratory Endpoints</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44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(Mean Change from Baseline)</w:t>
            </w: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0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DAS28-CRP</w:t>
            </w:r>
          </w:p>
        </w:tc>
        <w:tc>
          <w:tcPr>
            <w:tcW w:w="1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Week 28</w:t>
            </w:r>
          </w:p>
        </w:tc>
        <w:tc>
          <w:tcPr>
            <w:tcW w:w="160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81"/>
              </w:rPr>
              <w:t>— </w:t>
            </w: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-2.51</w:t>
            </w: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-2.51</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10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hs-CRP</w:t>
            </w:r>
          </w:p>
        </w:tc>
        <w:tc>
          <w:tcPr>
            <w:tcW w:w="1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Week 12</w:t>
            </w:r>
          </w:p>
        </w:tc>
        <w:tc>
          <w:tcPr>
            <w:tcW w:w="28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-0.73</w:t>
            </w: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-9.67***</w:t>
            </w: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-10.10***</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Week 28</w:t>
            </w:r>
          </w:p>
        </w:tc>
        <w:tc>
          <w:tcPr>
            <w:tcW w:w="1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81"/>
              </w:rPr>
              <w:t>— </w:t>
            </w: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-7.23</w:t>
            </w: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-10.55</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324"/>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Patient Global Assessment</w:t>
            </w:r>
          </w:p>
        </w:tc>
        <w:tc>
          <w:tcPr>
            <w:tcW w:w="1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Week 12</w:t>
            </w:r>
          </w:p>
        </w:tc>
        <w:tc>
          <w:tcPr>
            <w:tcW w:w="28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-25.4</w:t>
            </w: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-30.1</w:t>
            </w: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-30.5</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Week 28</w:t>
            </w:r>
          </w:p>
        </w:tc>
        <w:tc>
          <w:tcPr>
            <w:tcW w:w="160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81"/>
              </w:rPr>
              <w:t>— </w:t>
            </w: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-35.9</w:t>
            </w: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-38.4</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10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HAQ-DI (range 0-3)</w:t>
            </w:r>
          </w:p>
        </w:tc>
        <w:tc>
          <w:tcPr>
            <w:tcW w:w="1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Week 12</w:t>
            </w:r>
          </w:p>
        </w:tc>
        <w:tc>
          <w:tcPr>
            <w:tcW w:w="28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-0.56</w:t>
            </w: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-0.61</w:t>
            </w: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-0.59</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Week 28</w:t>
            </w:r>
          </w:p>
        </w:tc>
        <w:tc>
          <w:tcPr>
            <w:tcW w:w="1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81"/>
              </w:rPr>
              <w:t>— </w:t>
            </w: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-0.74</w:t>
            </w: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-0.75</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324"/>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Pain VAS</w:t>
            </w:r>
          </w:p>
        </w:tc>
        <w:tc>
          <w:tcPr>
            <w:tcW w:w="1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Week 12</w:t>
            </w:r>
          </w:p>
        </w:tc>
        <w:tc>
          <w:tcPr>
            <w:tcW w:w="28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-29.0</w:t>
            </w: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-32.6</w:t>
            </w: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-35.3</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Week 28</w:t>
            </w:r>
          </w:p>
        </w:tc>
        <w:tc>
          <w:tcPr>
            <w:tcW w:w="160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81"/>
              </w:rPr>
              <w:t>— </w:t>
            </w: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-40.0</w:t>
            </w: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-44.5</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560" w:right="160"/>
        <w:spacing w:after="0" w:line="266" w:lineRule="auto"/>
        <w:rPr>
          <w:sz w:val="20"/>
          <w:szCs w:val="20"/>
          <w:color w:val="auto"/>
        </w:rPr>
      </w:pPr>
      <w:r>
        <w:rPr>
          <w:rFonts w:ascii="Times New Roman" w:cs="Times New Roman" w:eastAsia="Times New Roman" w:hAnsi="Times New Roman"/>
          <w:sz w:val="18"/>
          <w:szCs w:val="18"/>
          <w:color w:val="auto"/>
        </w:rPr>
        <w:t>MMRM = Mixed model repeated measures; used for continuous measures at week 12. MI-LMCF = Multiple imputations with last mean carried forward; used for continuous efficacy measures at Week 28. NRI = nonresponder imputation (NRI); used for dichotomous endpoints at Week 12 and 28. *p&lt;0.05; **p&lt;0.01; ***p&lt;0.001</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00"/>
          </w:cols>
          <w:pgMar w:left="320" w:top="455" w:right="4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Clinical outcomes were further substantiated by objective translational data. An approximately 50% reduction in the mean CRP from baseline, an objective measure of inflammation, was observed through Week 28 in rosnilimab patients who entered the all-active period. Additionally, translational blood and synovial biopsy biomarker data showed differentiated and consistent immunological impact with on-target pharmacological activity in rosnilimab patients that was not observed on placebo. In blood, rosnilimab demonstrated rapid, deep and sustained reductions of approximately 90% in pathogenic T cells (largely Tph, Tph and Teff cells), and an increase in total Tregs. Additionally, synovial biopsies of the most impacted joint taken at baseline and after six weeks showed a deep reduction of approximately 90% in pathogenic T cells (largely Tph cells) at the 400mg Q4W and 600mg Q2W doses, showing a dose response relative to the 100mg Q4W dose.</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Consistent with prior rosnilimab studies, all rosnilimab doses through end-of-trial follow up at week 38 demonstrated no treatment-related serious adverse events (“SAEs”), malignancies, anaphylaxis or systemic hypersensitivity, and a low incidence of injection site reactions. Most adverse events (“AEs”) were mild to moderate in severity. Less than 2% of patients in the trial discontinued rosnilimab due to an AE, including only one patient after three months for a moderate headache treated with over-the-counter pain medication. Non-treatment related SAEs observed were consistent with known RA patient history and comorbidities.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ANB033</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ANB033 is an antagonist of CD122, the common beta subunit shared by the IL-15 and IL-2 receptors. IL-15 and IL-2 signaling mediate the proliferation and survival of subsets of CD8+ and CD4 T+ cells, NK cells, as well as ILC2s. ANB033 is an antibody designed with an optimal epitope and affinity to CD122 that inhibits IL-15 and IL-2 signaling through both the intermediate affinity IL-2 receptor (comprised of CD122 and the common gamma subunit, CD132) and the high affinity IL-2 receptor (comprised of CD122, CD132 and the alpha receptor subunit for IL-2, CD25) expressed by activated CD4 Th1 and Th2 T cells as well as ILC2. Antagonizing CD122 has the potential to achieve and maintain remission of inflammation through the reduction of disease-causing cytolytic CD8 T cell subsets, including intraepithelial lymphocytes (“IELs”), NK cells and reducing inflammatory cytokine secretion by activated CD4+ Th1 and Th2 cells, as well as ILC2 cells.</w:t>
      </w:r>
    </w:p>
    <w:p>
      <w:pPr>
        <w:spacing w:after="0" w:line="189" w:lineRule="exact"/>
        <w:rPr>
          <w:sz w:val="20"/>
          <w:szCs w:val="20"/>
          <w:color w:val="auto"/>
        </w:rPr>
      </w:pPr>
    </w:p>
    <w:p>
      <w:pPr>
        <w:jc w:val="both"/>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We announced top-line data from a healthy volunteer Phase 1a trial of ANB033 in October 2025 that demonstrated no safety concerns at any dose and a rapid and sustained PK profile. A total of 80 subjects were enrolled in the randomized, double-blind, placebo-controlled healthy volunteer Phase 1 trial, where SAD cohorts received SC or IV single doses of ANB033 or placebo, while MAD cohorts received four weekly SC doses of ANB033.</w:t>
      </w:r>
    </w:p>
    <w:p>
      <w:pPr>
        <w:spacing w:after="0" w:line="2"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ANB033 was generally well-tolerated and no SAE discontinuations, or dose-limiting toxicities were observed in the study. ANB033 demonstrated an estimated two-to-three week half-life and full receptor occupancy for SC and IV routes of administration. A dose response was observed on relevant PD biomarkers. We observed responsive effects with both IV and SC modes of administration, with a 70-75% reduction in CD122-expressing CD8 T cells, which did not result in a meaningful reduction in overall CD8 T cells. Additionally, treatment with ANB033 effectively eliminated all CD122-expressing NK cells, but the overall NK cell count remained above the levels needed to maintain immune competency as not all NK cells in humans express CD122. No overall reductions were observed on regulatory T cell counts in the peripheral blood.</w:t>
      </w:r>
    </w:p>
    <w:p>
      <w:pPr>
        <w:spacing w:after="0" w:line="19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conducting a randomized placebo-controlled 60-patient, global Phase 1b trial cohort of ANB033 in CeD. This trial will assess both a cohort of patients with baseline villus height to crypt depth (“Vh:Cd”) ratio greater than 2.0 in a gluten-challenge to assess prevention of further mucosal damage, as well as a cohort of patients with a Vh:Cd ratio less than 2.0, who will not be subjected to a gluten-challenge, to assess the ability to heal mucosal damage in symptom-controlled patients. The two distinct cohorts will enroll 30 patients each, randomized 1:1 between one dose level of subcutaneously administered ANB033 dose and placebo. Key assessments include safety and tolerability, efficacy assessments including the change in Vh:Cd ratio, IEL counts, and PROs, such as the Celiac Disease Symptom Diary (“CDSD”) , as well as PK and immunogenicity.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also initiated a Phase 1b trial cohort of ANB033 in EoE in the first quarter of 2026.</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ANB101</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ANB101 is a blood dendritic cell antigen 2 (“BDCA2”) modulator antibody that targets plasmacytoid dendritic cells (“pDCs”) and inhibits interferon secretion and modulates antigen presentation for the treatment of autoimmune and inflammatory diseases. BDCA2 is a molecule specifically expressed on pDCs, a class of immune cells which, while found in relatively small numbers in healthy individuals, are enriched in patients with a variety of inflammatory diseases, that is critical to the regulation of toll-like receptor signaling and interferon secretion. pDCs are a key upstream node in the inflammatory cascade that serve as a bridge between innate and adaptive immunity. They have been shown to be prolific secretors of type I interferons, which drive activation of a variety of downstream cell types including T cells and monocytes. Together with their ability to present antigens to the adaptive immune system, this creates a pro-inflammatory environment for the establishment and perpetuation of autoimmune pathology. BDCA2 has been implicated in the pathophysiology of systemic lupus erythematosus (“SLE”), where there exists mechanistic clinical proof of concept for pDC modulation.</w:t>
      </w:r>
    </w:p>
    <w:p>
      <w:pPr>
        <w:spacing w:after="0" w:line="188"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initiated a Phase 1 clinical trial of ANB101 in healthy volunteers in March 2025 and the trial is ongoing. ANB101 preclinical data suggests it is a more potent antibody compared to litifilimab with a longer half-life that results in a deeper and more durable PD effect on pDC depletion.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certain key information about our wholly owned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094730" cy="32664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94730" cy="3266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40" w:right="160" w:hanging="424"/>
        <w:spacing w:after="0" w:line="261"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complete data from Phase 2b trial of rosnilimab was accepted as a late breaking abstract for oral presentation at American College Rheumatology (ACR) Convergence 2025 in October 2025. (A late breaking abstract is a special submission for a scientific conference, which presents new significant research findings or breakthroughs that become available after the regular abstract submission deadline for a conference expires.) We expect to provide an update on potential Phase 3 advancement in the first half of 2026.</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are a clinical-stage biotechnology company focused on delivering innovative immunology therapeutics. Our antibodies modulate key nodes governing the body’s regulation of autoimmunity and inflammation. Dysregulated immune responses may result in abnormal and pathological inflammation in diseases with large and substantially underserved patient populations in therapeutic areas including but not limited to gastroenterology, rheumatology, dermatology, and respiratory. The key elements of our strategy include:</w:t>
      </w:r>
    </w:p>
    <w:p>
      <w:pPr>
        <w:spacing w:after="0" w:line="85" w:lineRule="exact"/>
        <w:rPr>
          <w:sz w:val="20"/>
          <w:szCs w:val="20"/>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broad development of our autoimmunity and inflammation-focused portfolio.</w:t>
      </w:r>
    </w:p>
    <w:p>
      <w:pPr>
        <w:spacing w:after="0" w:line="130" w:lineRule="exact"/>
        <w:rPr>
          <w:rFonts w:ascii="Times New Roman" w:cs="Times New Roman" w:eastAsia="Times New Roman" w:hAnsi="Times New Roman"/>
          <w:sz w:val="18"/>
          <w:szCs w:val="18"/>
          <w:color w:val="auto"/>
        </w:rPr>
      </w:pPr>
    </w:p>
    <w:p>
      <w:pPr>
        <w:jc w:val="both"/>
        <w:ind w:left="1080" w:right="260" w:hanging="424"/>
        <w:spacing w:after="0" w:line="266"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translational and clinical data to characterize the mechanism and differentiation of our molecules from in-class competitors, other modalities in clinical development, and relative to standard of care, to optimize development of our molecules to address diseases and patient subsets with unmet medical need.</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Innovating clinical development and execution to efficiently and optimally achieve proof-of-concept and execute registrational studies in key global markets.</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global commercialization of our product candidates while retaining rights in key commercial markets to enable us to become a fully integrated development and commercial organization.</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leverage our research expertise to identify, license and/or innovate potentially best-in-class antibodies against high-value immunological targets.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Maximizing return on equity through execution against a multi-year capital and operating plan.</w:t>
      </w:r>
    </w:p>
    <w:p>
      <w:pPr>
        <w:spacing w:after="0" w:line="223"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color w:val="auto"/>
        </w:rPr>
        <w:t>As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information statement, the clinical development of drug product candidates is subject to a wide range of risks and uncertainties, any of which could cause our actual development strategy or timeframes to vary.</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Antibody Overview</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Antibodies are complex proteins naturally generated by the immune system to neutralize foreign pathogens such as bacteria or viruses. B cells, a white blood cell type responsible for the generation of antibodies in response to pathogens, secrete billions of antibodies with different specificities into the bloodstream. Antibodies are structurally distinct Y-shaped proteins formed through the combination of two long proteins, called heavy chains, and two short proteins, called light chains. Each heavy and light chain pair forms a binding site where the antibody specifically binds its target, otherwise known as an antigen, at the Fab domain of the antibody molecule. The specificity of each antibody to a target, and the potency of its binding strength to that target are defined by the amino acid sequences of heavy and light chains in the Fab domain of the antibody molecule. The other end of the antibody, called the Fc domain, is responsible for communication between the antibody and the rest of the immune system.</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Therapeutic antibodies are typically non-naturally occurring, or recombinant, antibodies specifically developed to treat human diseases by binding to certain proteins, and thereby modulating key biological processes. Therapeutic antibodies are injectable products that are typically dosed subcutaneously or intravenously, unlike synthetic chemistry-based “small molecule” therapeutics that may also be administered orally. Therapeutic antibodies have the following key features that we believe make them more predictable than small molecules:</w:t>
      </w:r>
    </w:p>
    <w:p>
      <w:pPr>
        <w:spacing w:after="0" w:line="176" w:lineRule="exact"/>
        <w:rPr>
          <w:sz w:val="20"/>
          <w:szCs w:val="20"/>
          <w:color w:val="auto"/>
        </w:rPr>
      </w:pPr>
    </w:p>
    <w:p>
      <w:pPr>
        <w:ind w:left="120" w:right="6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Fab Domain</w:t>
      </w:r>
      <w:r>
        <w:rPr>
          <w:rFonts w:ascii="Times New Roman" w:cs="Times New Roman" w:eastAsia="Times New Roman" w:hAnsi="Times New Roman"/>
          <w:sz w:val="17"/>
          <w:szCs w:val="17"/>
          <w:color w:val="auto"/>
        </w:rPr>
        <w:t>. Due to the relatively large size and complex nature of the antibody Fab domain, antibodies generally bind with high specificity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desired therapeutic target and tend to exhibit less off-target binding to unrelated proteins, which lowers the risk of unintended biological side effects such as toxicity. Because target proteins are typically larger than antibody Fab domains, antibodies can be generated against a variety of specific</w:t>
      </w:r>
    </w:p>
    <w:p>
      <w:pPr>
        <w:spacing w:after="0" w:line="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00"/>
          </w:cols>
          <w:pgMar w:left="320" w:top="455" w:right="4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binding epitopes on a given single protein, which can alter the functional activity of the protein. For example, antibodies binding to unique epitopes on a single target protein can act as antagonists or agonists of the natural target protein function.</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Fc Domain</w:t>
      </w:r>
      <w:r>
        <w:rPr>
          <w:rFonts w:ascii="Times New Roman" w:cs="Times New Roman" w:eastAsia="Times New Roman" w:hAnsi="Times New Roman"/>
          <w:sz w:val="18"/>
          <w:szCs w:val="18"/>
          <w:color w:val="auto"/>
        </w:rPr>
        <w:t>. The Fc domain of an antibody is the tail region that interacts with cell surface receptors called Fc receptors and some proteins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complement system. In humans, there are five Fc domains referred to as isotypes (IgA, IgD, IgM, IgG, IgE) and numerous Fc receptors expressed on specialized immune cells. Many therapeutic antibodies are subtypes of the IgG isotype and are chosen specifically to limit or induce immune system activity for therapeutic purposes. Engagement of Fc domains by specific Fc receptors can modulate biological activity, for example, by clustering the target protein on the cell surface in an immune synapse, leading to modulation of the target protein activity and hence altering the function of the cell expressing the target protein. Specific Fc domain and Fc receptor interactions may also trigger killing of a cell, often referred to as “effector function” of the antibody, via cytotoxic mechanisms depending on the cell type bearing the Fc receptor. In some therapeutic settings, mutations can be made to the Fc domain to weaken or entirely abrogate Fc receptor interactions. In creating the most efficacious therapeutic antibody, an appropriate Fc domain is often utilized to avoid or induce immune system activity that contributes to its broader mechanism of action. We believe that therapeutic antibodies can be significantly de-risked preclinically for specificity, toxicology, pharmacokinetics, and modulation of immune system activity, which is not generally true for small molecule drugs.</w:t>
      </w:r>
    </w:p>
    <w:p>
      <w:pPr>
        <w:spacing w:after="0" w:line="182" w:lineRule="exact"/>
        <w:rPr>
          <w:sz w:val="20"/>
          <w:szCs w:val="20"/>
          <w:color w:val="auto"/>
        </w:rPr>
      </w:pPr>
    </w:p>
    <w:p>
      <w:pPr>
        <w:ind w:left="120"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Pharmacokinetics and Dosing Frequency</w:t>
      </w:r>
      <w:r>
        <w:rPr>
          <w:rFonts w:ascii="Times New Roman" w:cs="Times New Roman" w:eastAsia="Times New Roman" w:hAnsi="Times New Roman"/>
          <w:sz w:val="18"/>
          <w:szCs w:val="18"/>
          <w:color w:val="auto"/>
        </w:rPr>
        <w:t>. As complex proteins, antibodies are metabolized and distributed differently than small molecules.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 length antibodies tend to exhibit serum half-lives of seven to 24 days in humans, leading to bi-weekly or monthly dosing as typical practice for therapeutic antibodies.</w:t>
      </w:r>
    </w:p>
    <w:p>
      <w:pPr>
        <w:spacing w:after="0" w:line="171" w:lineRule="exact"/>
        <w:rPr>
          <w:sz w:val="20"/>
          <w:szCs w:val="20"/>
          <w:color w:val="auto"/>
        </w:rPr>
      </w:pPr>
    </w:p>
    <w:p>
      <w:pPr>
        <w:ind w:left="12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Potency and Dose Quantities</w:t>
      </w:r>
      <w:r>
        <w:rPr>
          <w:rFonts w:ascii="Times New Roman" w:cs="Times New Roman" w:eastAsia="Times New Roman" w:hAnsi="Times New Roman"/>
          <w:sz w:val="17"/>
          <w:szCs w:val="17"/>
          <w:color w:val="auto"/>
        </w:rPr>
        <w:t>. Antibodies are typically highly potent in binding affinity to their desired target, with binding dissociation constants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low nanomolar to picomolar range. Hence, antibodies tend to be dosed at low amounts (less than one gram quantities per course of therapy).</w:t>
      </w:r>
    </w:p>
    <w:p>
      <w:pPr>
        <w:spacing w:after="0" w:line="13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approach to antibody design focuses on discovering and optimizing therapeutic antibodies tailored to modulate immune function. We use a variety of technologies to optimize the Fab domain of an antibody in ways that we believe both create a therapeutic antibody with highly potent functional activity and mitigate potential manufacturing liabilities.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also optimize the Fc domain of the antibody, when needed, to tailor it for specific activity such as reducing Fc receptor interactions or optimizing Fc receptor interactions, in combination with the Fab domain of the antibody, to specifically modulate immune cell function, engage effector function that kills specific targeted immune cells, or leverage a combination of both activities. We further optimize the overall antibody through humanization and removal of liabilities that could potentially affect the structure, stability, pharmacology, manufacturability or immunogenicity of the antibody.</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Optimized antibodies are tested in an extensive suite of immune cell assays, using engineered cell lines, and more relevantly, primary human immune cells from healthy and diseased individuals that we believe most accurately recapitulate the conditions in which the antibody will need to have optimal activity in patients.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that our approach to antibody design allows us to effectively tailor antibody discovery to achieve a unique therapeutic benefit.</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Our intellectual property is critical to our business and we strive to protect it, including by obtaining and maintaining patent protection in the United States and internationally for product candidates, novel biological discoveries, epitopes, new therapeutic approaches and potential indications, and other inventions that are important to our business. In total, our patent portfolio, including patents licensed from Centessa, and patents to</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certain antibody discovery technology consisted of approximately 46 issued patents and 99 pending patent applications as of December 31, 2025. The foregoing does not include certain patents and patent applications that are not material to our business and which we intend to let lapse.</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For our product candidates, generally we initially pursue patent protection covering compositions of matter including antibody sequences, methods of use, and methods of production. Throughout the development of our product candidates, we seek to identify additional means of obtaining patent protection that would potentially enhance commercial success.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patent portfolios for our internal programs are outlined below:</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Rosnilimab</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2025, we owned 33 patents and pending patent applications in various countries directed to the antibody sequence of rosnilimab and its variants, methods of use and related matters. We intend to prosecute our pending applications, and/or other patent applications claiming priority thereto, and pursue patent issuance and protection in key commercial markets where significant product sales may occur. Patents that have issued or that may issue from or claim priority to our pending applications could provide protection for aspects of this product candidate until June 2040.</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ANB033</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2025, we owned 16 pending patent applications in various countries and one pending international (PCT) patent application directed to the antibody sequence of ANB033 and its variants, methods of use and related matters. We intend to prosecute these patent applications, file additional patent applications claiming priority to these patent applications, and pursue patent issuance, in key commercial markets where significant product sales may occur. Patents that may issue claiming priority to these patent applications could provide protection for aspects of this product candidate until September 2045.</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ANB101</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2025, we owned rights to 17 patents and pending patent applications in various countries directed to the antibody sequence of ANB101 and its variants, methods of use and related matters. We intend to prosecute the pending applications, and/or other patent applications claiming priority thereto, and pursue patent issuance and protection in key commercial markets where significant product sales may occur. Patents that have issued or that may issue from or claim priority to the pending applications could provide protection for aspects of these product candidates until August 2040.</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License Agreement with Centessa</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November 24, 2023, we entered into an exclusive license agreement (as amended, the “Centessa Agreement”) with Centessa, pursuant to which we acquired the exclusive global development and commercialization rights to a blood dendritic cell antigen 2 (BDCA2) modulator antibody portfolio, including lead asset CBS004 (renamed ANB101), CBS008 (renamed ANB102) and the related family of backup antibodies, for the treatment of autoimmune and inflammatory diseases.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Centessa Agreement, we paid Centessa an upfront cash payment of $4.0 million and an additional cash payment of</w:t>
      </w:r>
    </w:p>
    <w:p>
      <w:pPr>
        <w:spacing w:after="0" w:line="27" w:lineRule="exact"/>
        <w:rPr>
          <w:sz w:val="20"/>
          <w:szCs w:val="20"/>
          <w:color w:val="auto"/>
        </w:rPr>
      </w:pPr>
    </w:p>
    <w:p>
      <w:pPr>
        <w:jc w:val="both"/>
        <w:ind w:left="120" w:right="60"/>
        <w:spacing w:after="0" w:line="255" w:lineRule="auto"/>
        <w:rPr>
          <w:sz w:val="20"/>
          <w:szCs w:val="20"/>
          <w:color w:val="auto"/>
        </w:rPr>
      </w:pPr>
      <w:r>
        <w:rPr>
          <w:rFonts w:ascii="Times New Roman" w:cs="Times New Roman" w:eastAsia="Times New Roman" w:hAnsi="Times New Roman"/>
          <w:sz w:val="18"/>
          <w:szCs w:val="18"/>
          <w:color w:val="auto"/>
        </w:rPr>
        <w:t>$3.0 million as reimbursement to Centessa for manufacturing costs incurred. There were $0.3 million in transaction costs incurred. The total transaction amount of $7.3 million was expensed as in-process research and development and classified as an operating activity in the statement of cash flows. We accounted for the transaction as an asset acquisition as the set of acquired assets did not constitute a business.</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00"/>
          </w:cols>
          <w:pgMar w:left="320" w:top="455" w:right="4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Under the terms of the Centessa Agreement, Centessa may be entitled to receive potential future payments of up to $10.0 million upon the achievement of a certain event-based milestone and would be entitled to receive on a product-by-product and country-by-country basis, a royalty of low single digits on annual net sales of any product in the territory in each calendar year until, on a product-by-product and country-by-country basis, the latest of: (a) expiration of the last-to-expire licensed patent covering such product in such country, (b) expiration of regulatory exclusivity for such product in such country and (c) ten years after the first commercial sale of such product in such country. We have not recognized a liability for the associated $10.0 million contingent consideration because, as of December 31, 2025, achievement of the milestone is not probable in the near term.</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Other Intellectual Property Matters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patent positions of biotechnology companies like ours are generally uncertain and involve complex legal, scientific and factual questions. In addition, the coverage claimed in a patent application can be significantly reduced before the patent is issued, and its scope can be reinterpreted after issuance. Consequently, we may not obtain or maintain adequate patent protection for any of our product candidates.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For a more comprehensive discussion of the risks related to our intellectual property, please see “</w:t>
      </w:r>
      <w:r>
        <w:rPr>
          <w:rFonts w:ascii="Times New Roman" w:cs="Times New Roman" w:eastAsia="Times New Roman" w:hAnsi="Times New Roman"/>
          <w:sz w:val="18"/>
          <w:szCs w:val="18"/>
          <w:i w:val="1"/>
          <w:iCs w:val="1"/>
          <w:color w:val="auto"/>
        </w:rPr>
        <w:t>Risk Factors—Risks Related to Intellectual Property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also may be accorded a patent term adjustment (“PTA”) under certain circumstances to compensate for delays in obtaining the patent from the USPTO. In some instances, such a PTA may result in a U.S. patent term extending beyond 20 years from the earliest date of filing a non-provisional patent application related to the U.S. patent. In addition, the term of a U.S.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also rely on trade secrets relating to our research and development and product candidates and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w:t>
      </w:r>
    </w:p>
    <w:p>
      <w:pPr>
        <w:spacing w:after="0" w:line="183"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00"/>
          </w:cols>
          <w:pgMar w:left="320" w:top="455" w:right="4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must manufacture our product candidates for clinical trial use in compliance with cGMP regulations. The cGMP regulations include requirements relating to organization of personnel, buildings and facilities, equipment, control of materials, components and drug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global regulatory requirements before any product is approved and we can manufacture commercial products. Our third-party manufacturers will be subject to periodic regulatory inspections of facilities by the FDA and other authorities, including procedures and operations used in the testing and manufacture of our products to assess compliance with applicable regulations.</w:t>
      </w:r>
    </w:p>
    <w:p>
      <w:pPr>
        <w:spacing w:after="0" w:line="18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internal manufacturing capabilities include non-cGMP antibody and reagent production using small scale quantities for characterization and in vitro and in vivo preclinical assessment of product candidates. We do not have and we do not currently plan to acquire or develop the facilities or capabilities to manufacture our product candidates for use in human clinical trials.</w:t>
      </w:r>
    </w:p>
    <w:p>
      <w:pPr>
        <w:spacing w:after="0" w:line="176"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We rely on third-party manufacturers to generate cGMP compliant cell lines and will rely on them to produce cGMP drug substance and drug product required for our clinical trials, and we expect to continue to rely on third parties to manufacture clinical trial drug supplies for the foreseeable future. We also contract with additional third parties for the testing, labeling, packaging, storage and distribution of investigational drug products. We have personnel with significant technical, manufacturing, analytical, quality, including cGMP regulations, and project management experience to oversee our third-party manufacturers and to manage manufacturing and quality data and information for regulatory compliance purposes. While our contract manufacturers have not yet produced commercially approved cGMP batches of our product candidates, they have previously manufactured products for other companies in compliance with cGMP regulations and have been previously inspected by regulatory authorities for compliance with cGMP standards.</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These actions could have a material impact on the availability of our products. Third-party manufacturers often encounter difficulties involving production yields, quality control and quality assurance, as well as shortages of qualified personnel.</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continuing technological advancement and significant competition. While we believe that our product candidates, technology, knowledge, experience and scientific resources provide us with competitive advantages, we face competition from major pharmaceutical and biotechnology companies, academic institutions, governmental agencies and public and private research institutions, among others. Any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and the ease of use and effectiveness of any companion diagnostics. The level of generic competition and the availability of reimbursement from government and other third-party payors will also significantly affect the pricing and competitiveness of our products. Our competitors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also may obtain FDA or other regulatory approval for their products more rapidly than we may obtain approval for ours, which could result in our competitors establishing a strong market position before we are able to enter the market.</w:t>
      </w:r>
    </w:p>
    <w:p>
      <w:pPr>
        <w:spacing w:after="0" w:line="162"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68"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Specifically, there are several companies developing or marketing treatments that may be approved for the same indications and/or diseases as our product candidates, including major pharmaceutical companies.</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For rosnilimab, our competitors include non-depleting PD-1 agonist antibodies, GS-0151 (Gilead) in Phase 1b development for the treatment of rheumatoid arthritis, and S-4321 (Seismic Therapeutics) in Phase 1 development. Our commercial-stage competitors in moderate-to-severe rheumatoid arthritis include monoclonal antibodies targeting anti-TNF (Humira; Abbvie), IL-6 (Actemra; Roche and Kevzara; Regeneron), CD-80/86 (Orencia; BMS), CD-20 (Rituxan; Roche), and janus kinase inhibitors (Rinvoq; AbbVie, Olumiant; Eli Lilly, and Xeljanz; Pfizer).</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our anti-CD122 antagonist antibody program, our clinical competitors include an anti-CD122 antagonist antibody, FB-102 (Forte Bioscience) in Phase 2a development for the treatment of CeD, Phase 1b development for the treatment of vitiligo, and Phase 1b development for the treatment of alopecia areata, and two anti-IL-15 monoclonal antibodies, GIA632 (Novartis) in Phase 2a development for atopic dermatitis and with proof-of-concept, Phase 1b data for the treatment of CeD and EoE, and TEV-53408 (Teva), in Phase 2 development for the treatment of CeD and vitiligo. To date, there are no FDA-approved therapies for the treatment of celiac disease and only one FDA-approved biologic, Dupixent, for the treatment of EoE.</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our anti-BDCA2 program, our competitors include another anti-BDCA2 antibody, litifilimab (Biogen) in Phase 3 development for SLE and CLE, and a bispecific fusion protein targeting BDCA2 and BAFF/APRIL, DNTH212 (Dianthus Therapeutics) in Phase 1 development, and an anti-ILT7 antibody, daxdilimab (Amgen) in Phase 2 development.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121"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Government authorities in the United States, at the federal, state and local level, and in other countries and jurisdictions, including the EU,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FDA approval process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the United States, pharmaceutical products are subject to extensive regulation by the FDA. The Federal Food, Drug, and Cosmetic Act (“FDC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Biological products used for the prevention, treatment, or cure of a disease or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00"/>
          </w:cols>
          <w:pgMar w:left="320" w:top="455" w:right="4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condition of a human being are subject to regulation under the FDC Act, except the section of the FDC Act which governs the approval of new drug applications (“NDAs”). Biological products are approved for marketing under provisions of the Public Health Service Act (“PHSA”), via a BLA. However, the application process and requirements for approval of BLAs are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Biological product development for a new product or certain changes to an approved product in the United States typically involves preclinical laboratory and animal tests, the submission to the FDA of an IND, which must become effective before clinical testing may commence in the United States,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the FDA as part of an IND along with other information, including information about product chemistry, manufacturing and controls, and a proposed clinical trial protocol. Long-term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biologic to healthy volunteers or patients under the supervision of a qualified investigator. Clinical trials must be conducted: (i) in compliance with federal regulations; (ii) in compliance with good clinical practices (“GCPs”),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19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trial protocol and informed consent information for patients in clinical trials must also be submitted to an institutional review board (“IRB”) for approval. An IRB may also require the clinical trial at the site to be halted, either temporarily or permanently, for failure to comply with the IRB’s requirements, or may impose other conditions.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Clinical trials to support BLAs for marketing approval are typically conducted in three sequential phases, but the phases may overlap. In Phase 1, the initial introduction of the biologic into healthy human subjects or patients, the product is tested to assess metabolism, pharmacokinetics, pharmacological actions, side effects associated with increasing doses, and, if possible, early evidence on effectiveness. Phase 2 usually involves clinical trials in a limited patient population to determine the effectiveness of the drug or biologic for a particular indication, dosage tolerance, and optimal dosage, and to identify common adverse effects and safety risks. If a compound demonstrates evidence of effectiveness and an acceptable safety profile in Phase 2 evaluations, Phase 3 clinical trials are undertaken to obtain the additional information about clinical efficacy and safety in a larger number of patients, typically at geographically dispersed clinical trial sites, to permit the FDA to evaluate the overall benefit risk relationship of the drug or biologic and to provide adequate information for the labeling of the product. In most cases, the FDA requires two adequate and well-controlled Phase 3 clinical trials to demonstrate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efficacy of the biologic. A single Phase 3 clinical trial may be sufficient in rare instances, including (i) where the clinical trial is a large multicenter clinical trial demonstrating internal consistency and a statistically persuasive finding of a clinically meaningful effect on mortality, irreversible morbidity or prevention of a disease with a potentially serious outcome and confirmation of the result in a second clinical trial would be practically or ethically impossible; or (ii) when in conjunction with other confirmatory evidence.</w:t>
      </w:r>
    </w:p>
    <w:p>
      <w:pPr>
        <w:spacing w:after="0" w:line="180"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After completion of the required clinical testing, a BLA is prepared and submitted to the FDA. FDA approval of the BLA is required before marketing of the product may begin in the United States. The BLA must include the results of all preclinical, clinical, and other testing and a compilation of data relating to the product’s pharmacology, chemistry, manufacture, and controls. The cost of preparing and submitting a BLA is substantial. The submission of most BLAs is additionally subject to a substantial application user fee, and the applicant under an approved BLA is also subject to annual product and establishment user fees. These fees are typically increased annually. The FDA has 60 days from its receipt of a BLA to determine whether the application will be accepted for filing based on the agency’s threshold determination that it is sufficiently complete to permit substantive review. Once the submission is filed, the FDA begins an in-depth review. The FDA has agreed to certain performance goals in the review of BLAs. Most such applications for standard review biologic products are reviewed within 10 months of the date the BLA is filed with the FDA; most applications for priority review biologics are reviewed within six months of the date the BLA is filed with the FDA. Priority review can be applied to a biologic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17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FDA may also refer applications for novel biologic products, or biologic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product is manufactured. The FDA will not approve the product unless compliance with cGMP regulations is satisfactory and the BLA contains data that provide substantial evidence that the biologic is safe, pure, potent and effective in the indication studied.</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After the FDA evaluates the BLA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An approval letter authorizes commercial marketing of the biologic with specific prescribing information for specific indications. As a condition of BLA approval, the FDA may require a REMS to help ensure that the benefits of the biologic outweigh the potential risks. REMS can include medication guides, communication plans for health 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product approval may require substantial post-approval testing and surveillance to monitor the product’s safety or efficacy.</w:t>
      </w:r>
    </w:p>
    <w:p>
      <w:pPr>
        <w:spacing w:after="0" w:line="19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Once granted, product approvals may be withdrawn if compliance with regulatory standards is not maintained or problems are identified following initial marketing. Changes to some of the conditions established in an approved application, including changes in indications, labeling, or manufacturing processes or facilities,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Foreign clinical studies to support an IND</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FDA will accept as support for an IND a well-designed, well-conducted, non-IND foreign clinical study if it was conducted in accordance with GCP and the FDA is able to validate the data from the study through an onsite inspection, if necessary. A sponsor or applicant who wishes to rely on a non-IND foreign clinical study to support an IND must submit the following supporting information to the FDA to demonstrate that the study conformed to GCP:</w:t>
      </w:r>
    </w:p>
    <w:p>
      <w:pPr>
        <w:spacing w:after="0" w:line="85" w:lineRule="exact"/>
        <w:rPr>
          <w:sz w:val="20"/>
          <w:szCs w:val="20"/>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investigator’s qualifications;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research facilities;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detailed summary of the protocol and study results and, if requested, case records or additional background data;</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drug substance and drug product, including the components, formulation, specifications, and, if available, the bioavailability of the drug product;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showing that the study is adequate and well controlled;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independent ethics committee that reviewed the study and a statement that the independent ethics committee meets the required definition;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the independent ethics committee’s decision to approve or modify and approve the study, or to provide a favorable opinion;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how informed consent was obtained;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what incentives, if any, were provided to subjects to participate;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how the sponsors monitored the study and ensured that the study was consistent with the protocol;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how investigators were trained to comply with GCP and to conduct the study in accordance with the study protocol;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on whether written commitments by investigators to comply with GCP and the protocol were obtained.</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Disclosure of clinical trial information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Sponsors of clinical trials of FDA-regulated products, including biological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clinical trials can be delayed in certain circumstances for up to two years after the date of completion of the clinical trial. Competitors may use this publicly available information to gain knowledge regarding the progress of development programs.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Pediatric information</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Under the Pediatric Research Equity Act (“PREA”), NDAs or BLAs or supplements to NDAs or BLAs must contain data to assess the safety and effectiveness of the biological product for the claimed indications in all relevant pediatric subpopulations and to support dosing and administration for each pediatric subpopulation for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380"/>
        <w:spacing w:after="0" w:line="312" w:lineRule="auto"/>
        <w:rPr>
          <w:sz w:val="20"/>
          <w:szCs w:val="20"/>
          <w:color w:val="auto"/>
        </w:rPr>
      </w:pPr>
      <w:r>
        <w:rPr>
          <w:rFonts w:ascii="Times New Roman" w:cs="Times New Roman" w:eastAsia="Times New Roman" w:hAnsi="Times New Roman"/>
          <w:sz w:val="17"/>
          <w:szCs w:val="17"/>
          <w:color w:val="auto"/>
        </w:rPr>
        <w:t>which the biological product is safe and effective. The FDA may grant full or partial waivers, or deferrals, for submission of data. Unless otherwise required by regulation, the PREA does not apply to any biological product for an indication for which Orphan Drug Designation has been granted.</w:t>
      </w:r>
    </w:p>
    <w:p>
      <w:pPr>
        <w:spacing w:after="0" w:line="14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Best Pharmaceuticals for Children Act (“BPCA”) provides sponsors of NDAs with an additional six-month period of market exclusivity for all unexpired patent or non-patent exclusivity on all forms of the drug containing the active moiety if the sponsor submits results of pediatric studies specifically requested by the FDA under BPCA within required timeframes. The BPCA provides sponsors of BLAs an additional six-month extension for all unexpired non-patent market exclusivity on all forms of the biological containing the active moiety pursuant to the BPCA if the conditions under the BPCA are met.</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Additional controls for biologics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Patent term restoration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After approval, owners of relevant drug or biologic patents may apply for up to a five-year patent extension. The allowable patent term extension is calculated as half of the drug’s testing phase (the time between IND application and NDA or BLA submission) and all of the review phase (the time between NDA or BLA submission and approval up to a maximum of five years). The time can be shortened if FDA determines that the applicant did not pursue approval with due diligence. The total patent term after the extension may not exceed 14 years from the date of marketing approval.</w:t>
      </w:r>
    </w:p>
    <w:p>
      <w:pPr>
        <w:spacing w:after="0" w:line="180"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the drug covered by the patent for which a patent extension is being sought is likely to be approved. Interim patent extensions are not available for a drug or biologic for which an NDA or BLA has not been submitted.</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Biosimilars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created an abbreviated approval pathway for biological products shown to be highly similar to or interchangeable with an FDA-licensed reference biological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the U.S. Department of Health and Human Services (“HHS”) waives a required element.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The first biosimilar was approved by the FDA in 2015, and the first interchangeable product was approved in 2021.</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reference biologic is granted 12 years of exclusivity from the time of first licensure of the reference product, and no application for a biosimilar can be submitted for four years from the date of licensure of the reference product. The first biologic product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Post-approval requirements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w:t>
      </w:r>
    </w:p>
    <w:p>
      <w:pPr>
        <w:spacing w:after="0" w:line="176"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Biologics may be marketed only for the approved indications and in accordance with the provisions of the approved labeling. Changes to some of the conditions established in an approved application, including changes in indications, labeling, or manufacturing processes or facilities, may require a submission to and approval by the FDA before the change can be implemented. A BLA supplement for a new indication typically requires clinical data similar to that in the original application and similar procedures and actions in reviewing BLA or supplements as in reviewing BLAs.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Adverse event reporting and submission of periodic reports are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 regulations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 regulations. Accordingly, manufacturers must continue to expend time, money, and effort in the areas of production and quality-control to maintain compliance with cGMP regulations. Regulatory authorities may withdraw product approvals or request product recalls if a company fails to comply with regulatory standards, if it encounters problems following initial marketing, or if previously unrecognized problems are subsequently discovered. In addition, biological product manufacturers in the U.S. must comply with applicable provisions of the Drug Supply Chain Security Act and provide and receive product tracing information, maintain appropriate licenses, ensure they only work with other properly licensed entities and have procedures in place to identify and properly handle suspect and illegitimate products.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Other U.S. health care laws and compliance requirements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the United States, our activities are potentially subject to regulation by various federal, state and local authorities in addition to the FDA, including but not limited to, the CMS, other divisions of the HHS (such as the Office of Inspector General), the U.S. Department of Justice (“DOJ”), and individual U.S. Attorney offices within the DOJ, and state and local governments. For example, sales, marketing and scientific/educational grant programs may have to comply with the anti-fraud and abuse provisions of the Social Security Act, anti-kickback statutes, false claims laws, the privacy and security provisions of the Health Insurance Portability and Accountability Act (“HIPAA”), and similar state laws, each as amended, as applicable.</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 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19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Additionally, the intent standard under the Anti-Kickback Statute was amended by the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spacing w:after="0" w:line="180"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Federal false claims and false statement laws, including the federal False Claims Act, prohibit, among other things, any person or entity from knowingly presenting, or causing to be presented, a false or fraudulent claim for payment to, or approval by, the federal health care programs, including Medicare and Medicaid,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 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 care benefit program, including private third-party payors, willfully obstructing a criminal investigation of a health care offense, and knowingly and willfully falsifying, concealing or covering up by trick, scheme 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60"/>
        <w:spacing w:after="0" w:line="289" w:lineRule="auto"/>
        <w:rPr>
          <w:sz w:val="20"/>
          <w:szCs w:val="20"/>
          <w:color w:val="auto"/>
        </w:rPr>
      </w:pPr>
      <w:r>
        <w:rPr>
          <w:rFonts w:ascii="Times New Roman" w:cs="Times New Roman" w:eastAsia="Times New Roman" w:hAnsi="Times New Roman"/>
          <w:sz w:val="17"/>
          <w:szCs w:val="17"/>
          <w:color w:val="auto"/>
        </w:rPr>
        <w:t>device, a material fact or making any materially false, fictitious or fraudulent statement in connection with the delivery of or payment for health care benefits, items or services. Like the Anti-Kickback Statute, the ACA amended the intent standard for certain health care fraud statutes under HIPAA such that a person or entity no longer needs to have actual knowledge of the statute or specific intent to violate it in order to have committed a violation.</w:t>
      </w:r>
    </w:p>
    <w:p>
      <w:pPr>
        <w:spacing w:after="0" w:line="158"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Also, many states have similar fraud and abuse statutes or regulations that apply to items and services reimbursed under Medicaid and other state programs, or, in several states, apply regardless of the payor. Additionally, to the extent that our product is sold in a foreign country, we may be subject to similar foreign laws.</w:t>
      </w:r>
    </w:p>
    <w:p>
      <w:pPr>
        <w:spacing w:after="0" w:line="176"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may be subject to data privacy and security regulations by both the federal government and the states in which we conduct our business. HIPAA, as amended by the Health Information Technology for Economic and Clinical Health Act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and may not have the same effect, thus complicating compliance efforts.</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Moreover, 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 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94"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federal and state health care laws described above or any other governmental regulations that apply to us, we may be subject to penalties, including without limitation, civil, criminal and/or administrative penalties, damages, fines, disgorgement, exclusion from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Coverage, pricing and reimbursement</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 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Further, reductions in health insurance and other healthcare funding as a result of the OBBBA may exacerbate the cost-consciousness of third-party payors and their willingness to provide coverage for newly developed products such as ours. As a result,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9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 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Healthcare reforms that have been adopted, and that may be adopted in the future, could result in further reductions in coverage and levels of reimbursement for pharmaceutical products, increases in rebates payable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under U.S. government rebate programs and additional downward pressure on pharmaceutical product prices. Healthcare reform initiatives include the enactment of the Inflation Reduction Act (“IRA”), which, among other things, allows the HHS to negotiate the selling price of certain drugs and biologics that CMS reimburses under Medicare Part B and Part D, although only high-expenditure single-source drugs that have been approved for at least seven years (11 years for biologics) can be selected by CMS for negotiation, with the negotiated price taking effect two years after the selection year. For 2026, the first year in which negotiated prices become effective, CMS selected 10 high-cost Medicare Part D products in 2023, negotiations began in 2024, and the negotiated maximum fair price for each product has been announced. These negotiations resulted in significant price reductions for the products from their 2023 list prices, ranging from 38 to 79 percent, with an average price reduction of 59.4 percent. CMS has selected 15 additional Medicare Part D drugs for negotiated maximum fair pricing in 2027. For 2028, an additional 15 drugs, which may be covered under either Medicare Part B or Part D, will be selected, and for 2029 and subsequent years, 20 Part B or Part D drugs will be selected. Negotiations for Medicare Part D products begin in 2024 with the negotiated price taking effect in 2026, and negotiations for Medicare Part B products begin in 2026 with the negotiated price taking effect in 2028. In August 2023, HHS announced the 10 Medicare Part D drugs and biologics that it selected for negotiations, and by October 1, 2023, each manufacturer of the selected drugs signed a manufacturer agreement to participate in the negotiations. HHS announced the negotiated maximum fair prices on August 15, 2024, and this price cap, which cannot exceed a statutory ceiling price, came into effect on January 1, 2026. Beginning in January 2023 for Medicare Part B and October 2022 for Medicare Part D, the IRA will also penalize drug manufacturers that increase prices of Medicare Part B and Part D drugs at a rate greater than the rate of inflation and in November 2024, CMS finalized regulations pertaining to these inflation rebates. The IRA permits the Secretary of HHS to implement many of these provisions through guidance, as opposed to regulation, for the initial years. Manufacturers that fail to comply with the IRA may be subject to various penalties, including civil monetary penalties. Further, in July 2025, the OBBBA was signed into law, and restored immediate deductibility of domestic expenditures, while foreign expenditures will continue to be capitalized and amortized over fifteen years. The OBBBA is expected to reduce Medicaid spending and enrollment by implementing work requirements for some beneficiaries, capping state-directed payments, reducing federal funding, and limiting provider taxes used to fund the program. The OBBBA also narrows access to ACA marketplace exchange enrollment and declined to extend the enhanced subsidies for individuals purchasing health insurance coverage in ACA marketplaces, which expired in 2025. Additionally, in June 2024, the U.S. Supreme Court overturned the longstanding Chevron doctrine, under which courts were required to give deference to regulatory agencies’ reasonable interpretations of ambiguous federal statutes. This decision could result in additional legal challenges to current regulations and guidance issued by federal agencies applicable to our operations, including those issued by the FDA. It is unclear to what extent other statutory, regulatory, and administrative initiatives will be enacted and implemented in the future.</w:t>
      </w:r>
    </w:p>
    <w:p>
      <w:pPr>
        <w:spacing w:after="0" w:line="2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Foreign Corrupt Practices Act</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Additional regulation</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foregoing, we are also subject to numerous federal, state and local laws relating to such matters as safe working conditions, manufacturing practices, environmental protection, fire hazard control, and disposal of hazardous or potentially hazardous substances, including the Occupational Safety and Health Act,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80"/>
          </w:cols>
          <w:pgMar w:left="320" w:top="455" w:right="4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Resource Conservancy and Recovery Act and the Toxic Substances Control Act.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Europe/rest of world government regulation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regulations in other jurisdictions governing, among other things, clinical trials and any commercial sales and distribution of our products. Whether or not we obtain FDA approval of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UK and countries in the EU, for example, a Clinical Trial Authorisation (“CTA”) must be submitted to each country’s national health authority and an independent ethics committee, much like the FDA and IRB, respectively. Once the CTA is approved in accordance with a country’s requirements, clinical trial development may proceed. Because biologically sourced raw materials are subject to unique contamination risks, their use may be restricted in some countries. 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9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To obtain regulatory approval of an investigational drug or biological product under EU and UK regulatory systems, we must submit a marketing authorization application. The application used to file the BLA in the United States is similar to that required in the EU and the UK, with the exception of, among other things, country-specific document requirements. For other countries outside of the EU and the UK, such as countries in Eastern Europe, Latin America or Asia, the requirements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87" w:lineRule="exact"/>
        <w:rPr>
          <w:sz w:val="20"/>
          <w:szCs w:val="20"/>
          <w:color w:val="auto"/>
        </w:rPr>
      </w:pPr>
    </w:p>
    <w:p>
      <w:pPr>
        <w:ind w:left="120" w:right="380" w:firstLine="440"/>
        <w:spacing w:after="0" w:line="312" w:lineRule="auto"/>
        <w:rPr>
          <w:sz w:val="20"/>
          <w:szCs w:val="20"/>
          <w:color w:val="auto"/>
        </w:rPr>
      </w:pPr>
      <w:r>
        <w:rPr>
          <w:rFonts w:ascii="Times New Roman" w:cs="Times New Roman" w:eastAsia="Times New Roman" w:hAnsi="Times New Roman"/>
          <w:sz w:val="17"/>
          <w:szCs w:val="17"/>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January 31, 2026, we had 104 employees. Of these employees, 72 were primarily engaged in research and development activities and 33 held a doctorate degree such as an M.D., Ph.D., or PharmD. None of our employees are represented by a labor union or covered by collective bargaining agreements. We have never experienced a work stoppage and believe that we have good employee relations.</w:t>
      </w:r>
    </w:p>
    <w:p>
      <w:pPr>
        <w:spacing w:after="0" w:line="176" w:lineRule="exact"/>
        <w:rPr>
          <w:sz w:val="20"/>
          <w:szCs w:val="20"/>
          <w:color w:val="auto"/>
        </w:rPr>
      </w:pPr>
    </w:p>
    <w:p>
      <w:pPr>
        <w:jc w:val="both"/>
        <w:ind w:left="120" w:right="200" w:firstLine="440"/>
        <w:spacing w:after="0" w:line="272" w:lineRule="auto"/>
        <w:rPr>
          <w:sz w:val="20"/>
          <w:szCs w:val="20"/>
          <w:color w:val="auto"/>
        </w:rPr>
      </w:pPr>
      <w:r>
        <w:rPr>
          <w:rFonts w:ascii="Times New Roman" w:cs="Times New Roman" w:eastAsia="Times New Roman" w:hAnsi="Times New Roman"/>
          <w:sz w:val="17"/>
          <w:szCs w:val="17"/>
          <w:color w:val="auto"/>
        </w:rPr>
        <w:t>We view our diverse employee population and our culture as key to our success. Our company culture prioritizes learning, supports growth and empowers us to reach new heights. We recruit employees with the skills and training relevant to succeed and thrive in their functional responsibilities. We assess the likelihood that a particular candidate will contribute to the company’s overall goals, and beyond their specifically assigned tasks.</w:t>
      </w:r>
    </w:p>
    <w:p>
      <w:pPr>
        <w:spacing w:after="0" w:line="2" w:lineRule="exact"/>
        <w:rPr>
          <w:sz w:val="20"/>
          <w:szCs w:val="20"/>
          <w:color w:val="auto"/>
        </w:rPr>
      </w:pPr>
    </w:p>
    <w:p>
      <w:pPr>
        <w:ind w:left="120" w:right="240"/>
        <w:spacing w:after="0" w:line="260" w:lineRule="auto"/>
        <w:rPr>
          <w:sz w:val="20"/>
          <w:szCs w:val="20"/>
          <w:color w:val="auto"/>
        </w:rPr>
      </w:pPr>
      <w:r>
        <w:rPr>
          <w:rFonts w:ascii="Times New Roman" w:cs="Times New Roman" w:eastAsia="Times New Roman" w:hAnsi="Times New Roman"/>
          <w:sz w:val="18"/>
          <w:szCs w:val="18"/>
          <w:color w:val="auto"/>
        </w:rPr>
        <w:t>Depending on the position, our recruitment reach can be local as well as national. We provide competitive compensation and benefits that are tailored specifically to the needs and requests of our employees.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principal executive office is located at 10770 Wateridge Circle in San Diego, California, and consists of approximately 45,000 square feet of leased office and laboratory space under a lease for a term of 124 months, beginning on April 5, 2021. The terms of the Lease Agreement provide us with an option to extend the term of the lease for an additional five years, as well as a one-time option to terminate the lease after seven years with the payment of a termination fee. We use these facilities for our administrative, research and development and other activities.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20"/>
          </w:cols>
          <w:pgMar w:left="320" w:top="455" w:right="5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combined financial statements and related notes thereto included elsewhere in this information statement. This discussion contains forward-looking statements that involve risks and uncertainties. As a result of many factors, including those factors set forth in the “Risk Factors” section of this information statement, our actual results could differ materially from the results described in or implied by the forward-looking statements contained in the following discussion and analysis. Please also see “Special Note Regarding Forward-Looking Statements.”</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Spin-Off from AnaptysBio, Inc.</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September 29, 2025, AnaptysBio, Inc. announced its intention to separate, by means of a spin-off, its Biopharma Co. Business, which will be a clinical-stage biotechnology company focused on the development and potential commercialization of innovative therapeutics for autoimmune and inflammatory diseases, including rosnilimab, ANB033 and ANB101 from AnaptysBio, Inc. which will hold and continue to manage the rights to the dostarlimab royalties from the GSK Collaboration and imsidolimab royalties from the Vanda Collaboration, with a focus on protecting and returning value of the royalties to its stockholders. The Spin-Off will create Biopharma Co, a separate, independent, publicly traded company. As part of the separation, AnaptysBio, Inc. intends to transfer the assets, liabilities and operations of its Biopharma Co. Business to Biopharma Co. The Spin-Off is expected to be completed by           , 2026, subject to final approval by the AnaptysBio, Inc. Board and other customary conditions.</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Biopharma Co’s historical combined financial statements have been prepared on a standalone basis and are derived from AnaptysBio, Inc.’s consolidated financial statements and accounting records. Therefore, these financial statements reflect, in conformity with U.S. GAAP, Biopharma Co’s combined financial position, results of operations and cash flows as the business was historically operated as part of AnaptysBio, Inc. prior to the Spin-Off. They may not be indicative of Biopharma Co’s future performance and do not necessarily reflect what Biopharma Co’s combined financial position, results of operations and cash flows would have been had Biopharma Co. operated as a separate, publicly traded company during the periods presented, particularly because the Company expects that changes will occur in our operating structure and its capitalization as a result of the separation from AnaptysBio, Inc.</w:t>
      </w:r>
    </w:p>
    <w:p>
      <w:pPr>
        <w:spacing w:after="0" w:line="18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Biopharma Co’s combined statements of operations reflect allocations of certain expenses, including research and development expenses and administrative expenses, and allocations of certain assets and liabilities from the financial statements of AnaptysBio, Inc., as applicable. Management believes these cost allocation methods are reasonable and reflect the services provided to Biopharma Co. during the periods presented. The allocations may not, however, be indicative of the actual expenses that would have been incurred had Biopharma Co. operated as a standalone public company. Related party cost allocations are further described in Note 5. Related-Party Transactions to the audited combined financial statements. Biopharma Co. expects to provide some of the services related to these general and administrative functions to AnaptysBio, Inc. on a transitional basis following the Spin-Off. These services will be provided under the Transition Services Agreement, which is described in “</w:t>
      </w:r>
      <w:r>
        <w:rPr>
          <w:rFonts w:ascii="Times New Roman" w:cs="Times New Roman" w:eastAsia="Times New Roman" w:hAnsi="Times New Roman"/>
          <w:sz w:val="18"/>
          <w:szCs w:val="18"/>
          <w:i w:val="1"/>
          <w:iCs w:val="1"/>
          <w:color w:val="auto"/>
        </w:rPr>
        <w:t>Certain Relationships and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in this information statement.</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intend to enter into a Separation and Distribution Agreement and a Transition Services Agreement with AnaptysBio, Inc. to govern the Spin-Off and our relationship with AnaptysBio, Inc. following the Spin-Off, as described in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 to be Entered Into in Connection with the Spin-Off</w:t>
      </w:r>
      <w:r>
        <w:rPr>
          <w:rFonts w:ascii="Times New Roman" w:cs="Times New Roman" w:eastAsia="Times New Roman" w:hAnsi="Times New Roman"/>
          <w:sz w:val="18"/>
          <w:szCs w:val="18"/>
          <w:color w:val="auto"/>
        </w:rPr>
        <w:t>” in this information statement. These agreements will provide for the allocation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Biopharma Co. and AnaptysBio, Inc. of AnaptysBio, Inc.’s assets, employees, liabilities and obligations (including its investments, property, employee benefits and tax-related assets and liabilities) attributable to periods prior to, at and after Biopharma Co’s separation from AnaptysBio, Inc. and will govern certain relationships between Biopharma Co. and AnaptysBio, Inc. after the Spin-Off.</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We are a clinical-stage biotechnology company focused on delivering innovative immunology therapeutics for autoimmune and inflammatory diseases. Our clinical-stage pipeline includes rosnilimab, a selective pathogenic T cell depleter, for which we completed a Phase 2b trial for the treatment of moderate-to-severe rheumatoid arthritis (“RA”), ANB033, a CD122 antagonist, in a Phase 1b trial for celiac disease (“CeD”) and eosinophilic esophagitis (“EoE”), and ANB101, a BDCA2 modulator, in a Phase 1a trial. Certain terms used in this section are defined in the section “</w:t>
      </w:r>
      <w:r>
        <w:rPr>
          <w:rFonts w:ascii="Times New Roman" w:cs="Times New Roman" w:eastAsia="Times New Roman" w:hAnsi="Times New Roman"/>
          <w:sz w:val="18"/>
          <w:szCs w:val="18"/>
          <w:i w:val="1"/>
          <w:iCs w:val="1"/>
          <w:color w:val="auto"/>
        </w:rPr>
        <w:t>Glossary of Terms.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Our Wholly Owned Clinical Stage Pipeline</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antibodies are in development to treat inflammatory diseases. We believe these molecules have potential applicability across a broad range of autoimmune and inflammatory diseases, including in gastroenterology, rheumatology, dermatology, respiratory, and other therapeutic areas.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Rosnilimab</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Rosnilimab is an IgG1 antibody that directly targets pathogenic T cells, such as activated Tph/Tfh and T effector cells, in the periphery or inflamed tissue. These T cells, when activated, proliferate and migrate, and secrete the inflammatory cytokines that are the drivers of autoimmune and inflammatory diseases. Rosnilimab is designed to selectively deplete pathogenic T cells in both inflamed tissue and the periphery while sparing non-pathogenic T cells, including naïve T cells, to preserve overall immune function and restore immune homeostasis. This drives specific immunological outcomes, such as a reduction in T cell proliferation, migration and cytokine secretion, and a reduction of plasma cell generation and autoantibody levels. We announced top-line data from a healthy volunteer Phase 1 trial of rosnilimab in November 2021 that supported advancement of rosnilimab into subsequent patient trials. A total of 144 subjects were enrolled in the randomized, double-blind, placebo-controlled healthy volunteer Phase 1 trial, where single ascending dose (“SAD”) cohorts received subcutaneous (“SC”) or intravenous (“IV”) single doses of rosnilimab up to 600mg or placebo, while multiple ascending dose (“MAD”) cohorts received four weekly subcutaneous doses of rosnilimab ranging up to 400mg or placebo. Rosnilimab was generally well-tolerated and no dose-limiting toxicities were observed. Rosnilimab demonstrated a sustained systemic exposure and dose-proportionality with an estimated two-week half-life for subcutaneous and IV routes of administration.</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February 2025, we announced initial data that was updated in June 2025, from rosnilimab’s randomized, placebo-controlled, global 424-patient, Phase 2b clinical trial for moderate-to-severe rheumatoid arthritis. Patients were randomized to receive either 100mg of subcutaneous rosnilimab every four weeks (Q4W), 400mg Q4W, 600mg every two weeks, or placebo.</w:t>
      </w:r>
    </w:p>
    <w:p>
      <w:pPr>
        <w:spacing w:after="0" w:line="176"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During the three-month placebo-controlled period, the trial achieved its primary endpoint by observing the reduction of disease activity using the disease activity score, 28 joints (DAS-28) C-Reactive Protein (“CRP”) score as well as ACR20 response (an accepted Phase 3 registrational endpoint) at Week 12 in all three doses of rosnilimab compared to placebo. Rosnilimab achieved its secondary endpoint by demonstrating statistical significance in at least one dose and numerical superiority at all doses, including once monthly administration, on ACR20, ACR50 and with respect to the clinical disease activity index (“CDAI”) low disease activity (“LDA”) score at Week 12. Specifically, at Week 12, ACR20 achieved statistical significance at 100 mg (p &lt; 0.05), 400 mg (p &lt; 0.01), and 600 mg (p &lt; 0.001); ACR50 at 600 mg (p &lt; 0.05); and CDAI LDA at 100 mg (p &lt; 0.05) and 400 mg (p &lt; 0.01).</w:t>
      </w:r>
    </w:p>
    <w:p>
      <w:pPr>
        <w:spacing w:after="0" w:line="173" w:lineRule="exact"/>
        <w:rPr>
          <w:sz w:val="20"/>
          <w:szCs w:val="20"/>
          <w:color w:val="auto"/>
        </w:rPr>
      </w:pPr>
    </w:p>
    <w:p>
      <w:pPr>
        <w:ind w:left="120" w:right="360" w:firstLine="440"/>
        <w:spacing w:after="0" w:line="289" w:lineRule="auto"/>
        <w:rPr>
          <w:sz w:val="20"/>
          <w:szCs w:val="20"/>
          <w:color w:val="auto"/>
        </w:rPr>
      </w:pPr>
      <w:r>
        <w:rPr>
          <w:rFonts w:ascii="Times New Roman" w:cs="Times New Roman" w:eastAsia="Times New Roman" w:hAnsi="Times New Roman"/>
          <w:sz w:val="17"/>
          <w:szCs w:val="17"/>
          <w:color w:val="auto"/>
        </w:rPr>
        <w:t>Following completion of the Week 14 visit, 69% (or 220 of the 318) rosnilimab-treated patients who achieved CDAI LDA at this timepoint continued their assigned treatment through six months in a blinded, all-active treatment period. At six months, rosnilimab results demonstrated deepening of responses through six months on CDAI LDA, CDAI remission and ACR70 and independent of prior treatments, including anti-TNFα,</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anti-IL6R or JAK inhibitors. Importantly, this was particularly observed in b/tsDMARD-experienced patients for the 400mg Q4W and 600mg Q2W doses, showing a dose response relative to the 100mg Q4W dose. Furthermore, Week 28 clinical responses across multiple measures, including CDAI LDA, mean CDAI, mean DAS28-CRP and ACR50/70, were durable off-drug through at least three months after the last rosnilimab dose and we believe suggests potential for extended dosing (e.g., Q8W/Q12W) after initial monthly dosing. Due to the trial design, max response rates for rosnilimab have not yet been observed as strict criteria at Week 14 prevented additional patients with meaningful improvement from continuing treatment in the trial.</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table summarizing the results for primary and secondary endpoints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8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w w:val="98"/>
              </w:rPr>
              <w:t>Placebo</w:t>
            </w:r>
          </w:p>
        </w:tc>
        <w:tc>
          <w:tcPr>
            <w:tcW w:w="166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Rosnilimab</w:t>
            </w:r>
          </w:p>
        </w:tc>
        <w:tc>
          <w:tcPr>
            <w:tcW w:w="166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Rosnilimab</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Rosnilimab</w:t>
            </w:r>
          </w:p>
        </w:tc>
        <w:tc>
          <w:tcPr>
            <w:tcW w:w="0" w:type="dxa"/>
            <w:vAlign w:val="bottom"/>
          </w:tcPr>
          <w:p>
            <w:pPr>
              <w:spacing w:after="0"/>
              <w:rPr>
                <w:sz w:val="1"/>
                <w:szCs w:val="1"/>
                <w:color w:val="auto"/>
              </w:rPr>
            </w:pPr>
          </w:p>
        </w:tc>
      </w:tr>
      <w:tr>
        <w:trPr>
          <w:trHeight w:val="151"/>
        </w:trPr>
        <w:tc>
          <w:tcPr>
            <w:tcW w:w="3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Efficacy Measure</w:t>
            </w:r>
          </w:p>
        </w:tc>
        <w:tc>
          <w:tcPr>
            <w:tcW w:w="15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660" w:type="dxa"/>
            <w:vAlign w:val="bottom"/>
            <w:gridSpan w:val="2"/>
          </w:tcPr>
          <w:p>
            <w:pPr>
              <w:jc w:val="right"/>
              <w:ind w:right="880"/>
              <w:spacing w:after="0" w:line="151" w:lineRule="exact"/>
              <w:rPr>
                <w:sz w:val="20"/>
                <w:szCs w:val="20"/>
                <w:color w:val="auto"/>
              </w:rPr>
            </w:pPr>
            <w:r>
              <w:rPr>
                <w:rFonts w:ascii="Times New Roman" w:cs="Times New Roman" w:eastAsia="Times New Roman" w:hAnsi="Times New Roman"/>
                <w:sz w:val="14"/>
                <w:szCs w:val="14"/>
                <w:b w:val="1"/>
                <w:bCs w:val="1"/>
                <w:color w:val="auto"/>
              </w:rPr>
              <w:t>100mg Q4W</w:t>
            </w:r>
          </w:p>
        </w:tc>
        <w:tc>
          <w:tcPr>
            <w:tcW w:w="1660" w:type="dxa"/>
            <w:vAlign w:val="bottom"/>
            <w:gridSpan w:val="2"/>
          </w:tcPr>
          <w:p>
            <w:pPr>
              <w:jc w:val="right"/>
              <w:ind w:right="880"/>
              <w:spacing w:after="0" w:line="151" w:lineRule="exact"/>
              <w:rPr>
                <w:sz w:val="20"/>
                <w:szCs w:val="20"/>
                <w:color w:val="auto"/>
              </w:rPr>
            </w:pPr>
            <w:r>
              <w:rPr>
                <w:rFonts w:ascii="Times New Roman" w:cs="Times New Roman" w:eastAsia="Times New Roman" w:hAnsi="Times New Roman"/>
                <w:sz w:val="14"/>
                <w:szCs w:val="14"/>
                <w:b w:val="1"/>
                <w:bCs w:val="1"/>
                <w:color w:val="auto"/>
              </w:rPr>
              <w:t>400mg Q4W</w:t>
            </w:r>
          </w:p>
        </w:tc>
        <w:tc>
          <w:tcPr>
            <w:tcW w:w="1100" w:type="dxa"/>
            <w:vAlign w:val="bottom"/>
            <w:gridSpan w:val="2"/>
          </w:tcPr>
          <w:p>
            <w:pPr>
              <w:jc w:val="right"/>
              <w:ind w:right="320"/>
              <w:spacing w:after="0" w:line="151" w:lineRule="exact"/>
              <w:rPr>
                <w:sz w:val="20"/>
                <w:szCs w:val="20"/>
                <w:color w:val="auto"/>
              </w:rPr>
            </w:pPr>
            <w:r>
              <w:rPr>
                <w:rFonts w:ascii="Times New Roman" w:cs="Times New Roman" w:eastAsia="Times New Roman" w:hAnsi="Times New Roman"/>
                <w:sz w:val="14"/>
                <w:szCs w:val="14"/>
                <w:b w:val="1"/>
                <w:bCs w:val="1"/>
                <w:color w:val="auto"/>
              </w:rPr>
              <w:t>600mg Q2W</w:t>
            </w:r>
          </w:p>
        </w:tc>
        <w:tc>
          <w:tcPr>
            <w:tcW w:w="0" w:type="dxa"/>
            <w:vAlign w:val="bottom"/>
          </w:tcPr>
          <w:p>
            <w:pPr>
              <w:spacing w:after="0"/>
              <w:rPr>
                <w:sz w:val="1"/>
                <w:szCs w:val="1"/>
                <w:color w:val="auto"/>
              </w:rPr>
            </w:pPr>
          </w:p>
        </w:tc>
      </w:tr>
      <w:tr>
        <w:trPr>
          <w:trHeight w:val="158"/>
        </w:trPr>
        <w:tc>
          <w:tcPr>
            <w:tcW w:w="3000" w:type="dxa"/>
            <w:vAlign w:val="bottom"/>
            <w:gridSpan w:val="3"/>
            <w:vMerge w:val="continue"/>
          </w:tcPr>
          <w:p>
            <w:pPr>
              <w:spacing w:after="0"/>
              <w:rPr>
                <w:sz w:val="13"/>
                <w:szCs w:val="13"/>
                <w:color w:val="auto"/>
              </w:rPr>
            </w:pPr>
          </w:p>
        </w:tc>
        <w:tc>
          <w:tcPr>
            <w:tcW w:w="1520" w:type="dxa"/>
            <w:vAlign w:val="bottom"/>
          </w:tcPr>
          <w:p>
            <w:pPr>
              <w:spacing w:after="0"/>
              <w:rPr>
                <w:sz w:val="13"/>
                <w:szCs w:val="13"/>
                <w:color w:val="auto"/>
              </w:rPr>
            </w:pPr>
          </w:p>
        </w:tc>
        <w:tc>
          <w:tcPr>
            <w:tcW w:w="1180" w:type="dxa"/>
            <w:vAlign w:val="bottom"/>
            <w:gridSpan w:val="2"/>
          </w:tcPr>
          <w:p>
            <w:pPr>
              <w:jc w:val="right"/>
              <w:ind w:right="700"/>
              <w:spacing w:after="0" w:line="158" w:lineRule="exact"/>
              <w:rPr>
                <w:sz w:val="20"/>
                <w:szCs w:val="20"/>
                <w:color w:val="auto"/>
              </w:rPr>
            </w:pPr>
            <w:r>
              <w:rPr>
                <w:rFonts w:ascii="Times New Roman" w:cs="Times New Roman" w:eastAsia="Times New Roman" w:hAnsi="Times New Roman"/>
                <w:sz w:val="14"/>
                <w:szCs w:val="14"/>
                <w:color w:val="auto"/>
                <w:w w:val="95"/>
              </w:rPr>
              <w:t>(N=106)</w:t>
            </w:r>
          </w:p>
        </w:tc>
        <w:tc>
          <w:tcPr>
            <w:tcW w:w="1660" w:type="dxa"/>
            <w:vAlign w:val="bottom"/>
            <w:gridSpan w:val="2"/>
          </w:tcPr>
          <w:p>
            <w:pPr>
              <w:jc w:val="right"/>
              <w:ind w:right="1020"/>
              <w:spacing w:after="0" w:line="158" w:lineRule="exact"/>
              <w:rPr>
                <w:sz w:val="20"/>
                <w:szCs w:val="20"/>
                <w:color w:val="auto"/>
              </w:rPr>
            </w:pPr>
            <w:r>
              <w:rPr>
                <w:rFonts w:ascii="Times New Roman" w:cs="Times New Roman" w:eastAsia="Times New Roman" w:hAnsi="Times New Roman"/>
                <w:sz w:val="14"/>
                <w:szCs w:val="14"/>
                <w:color w:val="auto"/>
              </w:rPr>
              <w:t>(N=106)</w:t>
            </w:r>
          </w:p>
        </w:tc>
        <w:tc>
          <w:tcPr>
            <w:tcW w:w="1660" w:type="dxa"/>
            <w:vAlign w:val="bottom"/>
            <w:gridSpan w:val="2"/>
          </w:tcPr>
          <w:p>
            <w:pPr>
              <w:jc w:val="right"/>
              <w:ind w:right="1020"/>
              <w:spacing w:after="0" w:line="158" w:lineRule="exact"/>
              <w:rPr>
                <w:sz w:val="20"/>
                <w:szCs w:val="20"/>
                <w:color w:val="auto"/>
              </w:rPr>
            </w:pPr>
            <w:r>
              <w:rPr>
                <w:rFonts w:ascii="Times New Roman" w:cs="Times New Roman" w:eastAsia="Times New Roman" w:hAnsi="Times New Roman"/>
                <w:sz w:val="14"/>
                <w:szCs w:val="14"/>
                <w:color w:val="auto"/>
              </w:rPr>
              <w:t>(N=107)</w:t>
            </w:r>
          </w:p>
        </w:tc>
        <w:tc>
          <w:tcPr>
            <w:tcW w:w="1100" w:type="dxa"/>
            <w:vAlign w:val="bottom"/>
            <w:gridSpan w:val="2"/>
          </w:tcPr>
          <w:p>
            <w:pPr>
              <w:jc w:val="right"/>
              <w:ind w:right="460"/>
              <w:spacing w:after="0" w:line="158" w:lineRule="exact"/>
              <w:rPr>
                <w:sz w:val="20"/>
                <w:szCs w:val="20"/>
                <w:color w:val="auto"/>
              </w:rPr>
            </w:pPr>
            <w:r>
              <w:rPr>
                <w:rFonts w:ascii="Times New Roman" w:cs="Times New Roman" w:eastAsia="Times New Roman" w:hAnsi="Times New Roman"/>
                <w:sz w:val="14"/>
                <w:szCs w:val="14"/>
                <w:color w:val="auto"/>
              </w:rPr>
              <w:t>(N=105)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9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70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Primary Endpoint</w:t>
            </w: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DAS28-CRP at Week 12</w:t>
            </w:r>
          </w:p>
        </w:tc>
        <w:tc>
          <w:tcPr>
            <w:tcW w:w="1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(mean change from baseline)</w:t>
            </w:r>
          </w:p>
        </w:tc>
        <w:tc>
          <w:tcPr>
            <w:tcW w:w="270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-1.69</w:t>
            </w:r>
          </w:p>
        </w:tc>
        <w:tc>
          <w:tcPr>
            <w:tcW w:w="16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-2.06**</w:t>
            </w:r>
          </w:p>
        </w:tc>
        <w:tc>
          <w:tcPr>
            <w:tcW w:w="16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-2.12**</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36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Select Secondary Endpoint^</w:t>
            </w: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70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 of participants)</w:t>
            </w: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10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ACR20 </w:t>
            </w:r>
            <w:r>
              <w:rPr>
                <w:rFonts w:ascii="Times New Roman" w:cs="Times New Roman" w:eastAsia="Times New Roman" w:hAnsi="Times New Roman"/>
                <w:sz w:val="18"/>
                <w:szCs w:val="18"/>
                <w:color w:val="auto"/>
              </w:rPr>
              <w:t>at Week 12^</w:t>
            </w:r>
          </w:p>
        </w:tc>
        <w:tc>
          <w:tcPr>
            <w:tcW w:w="2700" w:type="dxa"/>
            <w:vAlign w:val="bottom"/>
            <w:gridSpan w:val="3"/>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52.8</w:t>
            </w:r>
          </w:p>
        </w:tc>
        <w:tc>
          <w:tcPr>
            <w:tcW w:w="16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68.9*</w:t>
            </w:r>
          </w:p>
        </w:tc>
        <w:tc>
          <w:tcPr>
            <w:tcW w:w="16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70.1**</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70"/>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ACR50 </w:t>
            </w:r>
            <w:r>
              <w:rPr>
                <w:rFonts w:ascii="Times New Roman" w:cs="Times New Roman" w:eastAsia="Times New Roman" w:hAnsi="Times New Roman"/>
                <w:sz w:val="18"/>
                <w:szCs w:val="18"/>
                <w:color w:val="auto"/>
              </w:rPr>
              <w:t>at Week 12^</w:t>
            </w:r>
          </w:p>
        </w:tc>
        <w:tc>
          <w:tcPr>
            <w:tcW w:w="27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rPr>
              <w:t>33.0</w:t>
            </w:r>
          </w:p>
        </w:tc>
        <w:tc>
          <w:tcPr>
            <w:tcW w:w="16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44.3</w:t>
            </w:r>
          </w:p>
        </w:tc>
        <w:tc>
          <w:tcPr>
            <w:tcW w:w="16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36.4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Week 28</w:t>
            </w:r>
          </w:p>
        </w:tc>
        <w:tc>
          <w:tcPr>
            <w:tcW w:w="1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81"/>
              </w:rPr>
              <w:t>— </w:t>
            </w:r>
          </w:p>
        </w:tc>
        <w:tc>
          <w:tcPr>
            <w:tcW w:w="16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45.3</w:t>
            </w:r>
          </w:p>
        </w:tc>
        <w:tc>
          <w:tcPr>
            <w:tcW w:w="16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48.6</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70"/>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ACR70 </w:t>
            </w:r>
            <w:r>
              <w:rPr>
                <w:rFonts w:ascii="Times New Roman" w:cs="Times New Roman" w:eastAsia="Times New Roman" w:hAnsi="Times New Roman"/>
                <w:sz w:val="18"/>
                <w:szCs w:val="18"/>
                <w:color w:val="auto"/>
              </w:rPr>
              <w:t>at Week 12^</w:t>
            </w:r>
          </w:p>
        </w:tc>
        <w:tc>
          <w:tcPr>
            <w:tcW w:w="27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rPr>
              <w:t>17.9</w:t>
            </w:r>
          </w:p>
        </w:tc>
        <w:tc>
          <w:tcPr>
            <w:tcW w:w="16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21.7</w:t>
            </w:r>
          </w:p>
        </w:tc>
        <w:tc>
          <w:tcPr>
            <w:tcW w:w="16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21.5</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Week 28</w:t>
            </w:r>
          </w:p>
        </w:tc>
        <w:tc>
          <w:tcPr>
            <w:tcW w:w="1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81"/>
              </w:rPr>
              <w:t>— </w:t>
            </w:r>
          </w:p>
        </w:tc>
        <w:tc>
          <w:tcPr>
            <w:tcW w:w="16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40.6</w:t>
            </w:r>
          </w:p>
        </w:tc>
        <w:tc>
          <w:tcPr>
            <w:tcW w:w="16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36.4</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70"/>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CDAI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10 (LDA) </w:t>
            </w:r>
            <w:r>
              <w:rPr>
                <w:rFonts w:ascii="Times New Roman" w:cs="Times New Roman" w:eastAsia="Times New Roman" w:hAnsi="Times New Roman"/>
                <w:sz w:val="18"/>
                <w:szCs w:val="18"/>
                <w:color w:val="auto"/>
              </w:rPr>
              <w:t>at Week 12^</w:t>
            </w:r>
          </w:p>
        </w:tc>
        <w:tc>
          <w:tcPr>
            <w:tcW w:w="27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rPr>
              <w:t>31.1</w:t>
            </w:r>
          </w:p>
        </w:tc>
        <w:tc>
          <w:tcPr>
            <w:tcW w:w="16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46.2*</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49.5**</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Week 28</w:t>
            </w:r>
          </w:p>
        </w:tc>
        <w:tc>
          <w:tcPr>
            <w:tcW w:w="1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81"/>
              </w:rPr>
              <w:t>— </w:t>
            </w:r>
          </w:p>
        </w:tc>
        <w:tc>
          <w:tcPr>
            <w:tcW w:w="16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52.8</w:t>
            </w:r>
          </w:p>
        </w:tc>
        <w:tc>
          <w:tcPr>
            <w:tcW w:w="16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54.2</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36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Select Exploratory Endpoints</w:t>
            </w: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360" w:type="dxa"/>
            <w:vAlign w:val="bottom"/>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(Mean Change from Baseline)</w:t>
            </w: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10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DAS28-CRP</w:t>
            </w:r>
          </w:p>
        </w:tc>
        <w:tc>
          <w:tcPr>
            <w:tcW w:w="1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Week 28</w:t>
            </w:r>
          </w:p>
        </w:tc>
        <w:tc>
          <w:tcPr>
            <w:tcW w:w="1520" w:type="dxa"/>
            <w:vAlign w:val="bottom"/>
          </w:tcPr>
          <w:p>
            <w:pPr>
              <w:spacing w:after="0"/>
              <w:rPr>
                <w:sz w:val="20"/>
                <w:szCs w:val="20"/>
                <w:color w:val="auto"/>
              </w:rPr>
            </w:pPr>
          </w:p>
        </w:tc>
        <w:tc>
          <w:tcPr>
            <w:tcW w:w="11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81"/>
              </w:rPr>
              <w:t>— </w:t>
            </w:r>
          </w:p>
        </w:tc>
        <w:tc>
          <w:tcPr>
            <w:tcW w:w="16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-2.51</w:t>
            </w:r>
          </w:p>
        </w:tc>
        <w:tc>
          <w:tcPr>
            <w:tcW w:w="16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-2.51</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10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hs-CRP</w:t>
            </w:r>
          </w:p>
        </w:tc>
        <w:tc>
          <w:tcPr>
            <w:tcW w:w="1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Week 12</w:t>
            </w:r>
          </w:p>
        </w:tc>
        <w:tc>
          <w:tcPr>
            <w:tcW w:w="27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-0.73</w:t>
            </w:r>
          </w:p>
        </w:tc>
        <w:tc>
          <w:tcPr>
            <w:tcW w:w="16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-9.67***</w:t>
            </w:r>
          </w:p>
        </w:tc>
        <w:tc>
          <w:tcPr>
            <w:tcW w:w="16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-10.10***</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Week 28</w:t>
            </w:r>
          </w:p>
        </w:tc>
        <w:tc>
          <w:tcPr>
            <w:tcW w:w="1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81"/>
              </w:rPr>
              <w:t>— </w:t>
            </w:r>
          </w:p>
        </w:tc>
        <w:tc>
          <w:tcPr>
            <w:tcW w:w="16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-7.23</w:t>
            </w:r>
          </w:p>
        </w:tc>
        <w:tc>
          <w:tcPr>
            <w:tcW w:w="16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-10.55</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70"/>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Patient Global Assessment</w:t>
            </w:r>
          </w:p>
        </w:tc>
        <w:tc>
          <w:tcPr>
            <w:tcW w:w="1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Week 12</w:t>
            </w:r>
          </w:p>
        </w:tc>
        <w:tc>
          <w:tcPr>
            <w:tcW w:w="270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-25.4</w:t>
            </w:r>
          </w:p>
        </w:tc>
        <w:tc>
          <w:tcPr>
            <w:tcW w:w="16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-30.1</w:t>
            </w:r>
          </w:p>
        </w:tc>
        <w:tc>
          <w:tcPr>
            <w:tcW w:w="16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-30.5</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Week 28</w:t>
            </w:r>
          </w:p>
        </w:tc>
        <w:tc>
          <w:tcPr>
            <w:tcW w:w="1520" w:type="dxa"/>
            <w:vAlign w:val="bottom"/>
          </w:tcPr>
          <w:p>
            <w:pPr>
              <w:spacing w:after="0"/>
              <w:rPr>
                <w:sz w:val="20"/>
                <w:szCs w:val="20"/>
                <w:color w:val="auto"/>
              </w:rPr>
            </w:pPr>
          </w:p>
        </w:tc>
        <w:tc>
          <w:tcPr>
            <w:tcW w:w="11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81"/>
              </w:rPr>
              <w:t>— </w:t>
            </w:r>
          </w:p>
        </w:tc>
        <w:tc>
          <w:tcPr>
            <w:tcW w:w="16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-35.9</w:t>
            </w:r>
          </w:p>
        </w:tc>
        <w:tc>
          <w:tcPr>
            <w:tcW w:w="16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-38.4</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10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HAQ-DI (range 0-3)</w:t>
            </w:r>
          </w:p>
        </w:tc>
        <w:tc>
          <w:tcPr>
            <w:tcW w:w="1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Week 12</w:t>
            </w:r>
          </w:p>
        </w:tc>
        <w:tc>
          <w:tcPr>
            <w:tcW w:w="27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-0.56</w:t>
            </w:r>
          </w:p>
        </w:tc>
        <w:tc>
          <w:tcPr>
            <w:tcW w:w="16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-0.61</w:t>
            </w:r>
          </w:p>
        </w:tc>
        <w:tc>
          <w:tcPr>
            <w:tcW w:w="16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-0.59</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Week 28</w:t>
            </w:r>
          </w:p>
        </w:tc>
        <w:tc>
          <w:tcPr>
            <w:tcW w:w="1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81"/>
              </w:rPr>
              <w:t>— </w:t>
            </w:r>
          </w:p>
        </w:tc>
        <w:tc>
          <w:tcPr>
            <w:tcW w:w="16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-0.74</w:t>
            </w:r>
          </w:p>
        </w:tc>
        <w:tc>
          <w:tcPr>
            <w:tcW w:w="16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-0.75</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70"/>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Pain VAS</w:t>
            </w:r>
          </w:p>
        </w:tc>
        <w:tc>
          <w:tcPr>
            <w:tcW w:w="1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Week 12</w:t>
            </w:r>
          </w:p>
        </w:tc>
        <w:tc>
          <w:tcPr>
            <w:tcW w:w="270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-29.0</w:t>
            </w:r>
          </w:p>
        </w:tc>
        <w:tc>
          <w:tcPr>
            <w:tcW w:w="16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-32.6</w:t>
            </w:r>
          </w:p>
        </w:tc>
        <w:tc>
          <w:tcPr>
            <w:tcW w:w="16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-35.3</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Week 28</w:t>
            </w:r>
          </w:p>
        </w:tc>
        <w:tc>
          <w:tcPr>
            <w:tcW w:w="1520" w:type="dxa"/>
            <w:vAlign w:val="bottom"/>
          </w:tcPr>
          <w:p>
            <w:pPr>
              <w:spacing w:after="0"/>
              <w:rPr>
                <w:sz w:val="20"/>
                <w:szCs w:val="20"/>
                <w:color w:val="auto"/>
              </w:rPr>
            </w:pPr>
          </w:p>
        </w:tc>
        <w:tc>
          <w:tcPr>
            <w:tcW w:w="11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81"/>
              </w:rPr>
              <w:t>— </w:t>
            </w:r>
          </w:p>
        </w:tc>
        <w:tc>
          <w:tcPr>
            <w:tcW w:w="16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-40.0</w:t>
            </w:r>
          </w:p>
        </w:tc>
        <w:tc>
          <w:tcPr>
            <w:tcW w:w="16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-44.5</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560" w:right="160"/>
        <w:spacing w:after="0" w:line="266" w:lineRule="auto"/>
        <w:rPr>
          <w:sz w:val="20"/>
          <w:szCs w:val="20"/>
          <w:color w:val="auto"/>
        </w:rPr>
      </w:pPr>
      <w:r>
        <w:rPr>
          <w:rFonts w:ascii="Times New Roman" w:cs="Times New Roman" w:eastAsia="Times New Roman" w:hAnsi="Times New Roman"/>
          <w:sz w:val="18"/>
          <w:szCs w:val="18"/>
          <w:color w:val="auto"/>
        </w:rPr>
        <w:t>MMRM = Mixed model repeated measures; used for continuous measures at week 12. MI-LMCF = Multiple imputations with last mean carried forward; used for continuous efficacy measures at Week 28. NRI = nonresponder imputation (NRI); used for dichotomous endpoints at Week 12 and 28. *p&lt;0.05; **p&lt;0.01; ***p&lt;0.001</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00"/>
          </w:cols>
          <w:pgMar w:left="320" w:top="455" w:right="4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Clinical outcomes were further substantiated by objective translational data. An approximately 50% reduction in the mean CRP from baseline, an objective measure of inflammation, was observed through Week 28 in rosnilimab patients who entered the all-active period. Additionally, translational blood and synovial biopsy biomarker data showed differentiated and consistent immunological impact with on-target pharmacological activity in rosnilimab patients that was not observed on placebo. In blood, rosnilimab demonstrated rapid, deep and sustained reductions of approximately 90% in pathogenic T cells (largely Tph, Tph and Teff cells), and an increase in total Tregs. Additionally, synovial biopsies of the most impacted joint taken at baseline and after six weeks showed a deep reduction of approximately 90% in pathogenic T cells (largely Tph cells) at the 400mg Q4W and 600mg Q2W doses, showing a dose response relative to the 100mg Q4W dose.</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Consistent with prior rosnilimab studies, all rosnilimab doses through end-of-trial follow up at week 38 demonstrated no treatment-related serious adverse events (“SAEs”), malignancies, anaphylaxis or systemic hypersensitivity, and a low incidence of injection site reactions. Most adverse events (“AEs”) were mild to moderate in severity. Less than 2% of patients in the trial discontinued rosnilimab due to an AE, including only one patient after three months for a moderate headache treated with over-the-counter pain medication. Non-treatment related SAEs observed were consistent with known RA patient history and comorbidities.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ANB033</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ANB033 is an antagonist of CD122, the common beta subunit shared by the IL-15 and IL-2 receptors. IL-15 and IL-2 signaling mediate the proliferation and survival of subsets of CD8+ and CD4 T+ cells, NK cells, as well as ILC2s. ANB033 is an antibody designed with an optimal epitope and affinity to CD122 that inhibits IL-15 and IL-2 signaling through both the intermediate affinity IL-2 receptor (comprised of CD122 and the common gamma subunit, CD132) and the high affinity IL-2 receptor (comprised of CD122, CD132 and the alpha receptor subunit for IL-2, CD25) expressed by activated CD4 Th1 and Th2 T cells as well as ILC2. Antagonizing CD122 has the potential to achieve and maintain remission of inflammation through the reduction of disease-causing cytolytic CD8 T cell subsets, including intraepithelial lymphocytes (“IELs”), NK cells and reducing inflammatory cytokine secretion by activated CD4+ Th1 and Th2 cells, as well as ILC2 cells.</w:t>
      </w:r>
    </w:p>
    <w:p>
      <w:pPr>
        <w:spacing w:after="0" w:line="189" w:lineRule="exact"/>
        <w:rPr>
          <w:sz w:val="20"/>
          <w:szCs w:val="20"/>
          <w:color w:val="auto"/>
        </w:rPr>
      </w:pPr>
    </w:p>
    <w:p>
      <w:pPr>
        <w:jc w:val="both"/>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We announced top-line data from a healthy volunteer Phase 1a trial of ANB033 in October 2025 that demonstrated no safety concerns at any dose and a rapid and sustained PK profile. A total of 80 subjects were enrolled in the randomized, double-blind, placebo-controlled healthy volunteer Phase 1 trial, where SAD cohorts received SC or IV single doses of ANB033 or placebo, while MAD cohorts received four weekly SC doses of ANB033.</w:t>
      </w:r>
    </w:p>
    <w:p>
      <w:pPr>
        <w:spacing w:after="0" w:line="2"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ANB033 was generally well-tolerated and no SAE discontinuations, or dose-limiting toxicities were observed in the study. ANB033 demonstrated an estimated two-to-three week half-life and full receptor occupancy for SC and IV routes of administration. A dose response was observed on relevant PD biomarkers. We observed responsive effects with both IV and SC modes of administration, with a 70-75% reduction in CD122-expressing CD8 T cells, which did not result in a meaningful reduction in overall CD8 T cells. Additionally, treatment with ANB033 effectively eliminated all CD122-expressing NK cells, but the overall NK cell count remained above the levels needed to maintain immune competency as not all NK cells in humans express CD122. No overall reductions were observed on regulatory T cell counts in the peripheral blood.</w:t>
      </w:r>
    </w:p>
    <w:p>
      <w:pPr>
        <w:spacing w:after="0" w:line="19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conducting a randomized placebo-controlled 60-patient, global Phase 1b trial cohort of ANB033 in CeD. This trial will assess both a cohort of patients with baseline villus height to crypt depth (“Vh:Cd”) ratio greater than 2.0 in a gluten-challenge to assess prevention of further mucosal damage, as well as a cohort of patients with a Vh:Cd ratio less than 2.0, who will not be subjected to a gluten-challenge, to assess the ability to heal mucosal damage in symptom-controlled patients. The two distinct cohorts will enroll 30 patients each, randomized 1:1 between one dose level of subcutaneously administered ANB033 dose and placebo. Key assessments include safety and tolerability, efficacy assessments including the change in Vh:Cd ratio, IEL counts, and PROs, such as the Celiac Disease Symptom Diary (“CDSD”) , as well as PK and immunogenicity.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also initiated a Phase 1b trial cohort of ANB033 in EoE in the first quarter of 2026.</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ANB101</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ANB101 is a blood dendritic cell antigen 2 (“BDCA2”) modulator antibody that targets plasmacytoid dendritic cells (“pDCs”) and inhibits interferon secretion and modulates antigen presentation for the treatment of autoimmune and inflammatory diseases. BDCA2 is a molecule specifically expressed on pDCs, a class of immune cells which, while found in relatively small numbers in healthy individuals, are enriched in patients with a variety of inflammatory diseases, that is critical to the regulation of toll-like receptor signaling and interferon secretion. pDCs are a key upstream node in the inflammatory cascade that serve as a bridge between innate and adaptive immunity. They have been shown to be prolific secretors of type I interferons, which drive activation of a variety of downstream cell types including T cells and monocytes. Together with their ability to present antigens to the adaptive immune system, this creates a pro-inflammatory environment for the establishment and perpetuation of autoimmune pathology. BDCA2 has been implicated in the pathophysiology of systemic lupus erythematosus (“SLE”), where there exists mechanistic clinical proof of concept for pDC modulation.</w:t>
      </w:r>
    </w:p>
    <w:p>
      <w:pPr>
        <w:spacing w:after="0" w:line="188"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initiated a Phase 1 clinical trial of ANB101 in healthy volunteers in March 2025 and the trial is ongoing. ANB101 preclinical data suggests it is a more potent antibody compared to litifilimab with a longer half-life that results in a deeper and more durable PD effect on pDC depletion.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certain key information about our wholly owned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094730" cy="33432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94730"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40" w:right="160" w:hanging="424"/>
        <w:spacing w:after="0" w:line="261"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complete data from Phase 2b trial of rosnilimab was accepted as a late breaking abstract for oral presentation at American College Rheumatology (ACR) Convergence 2025 in October 2025. (A late breaking abstract is a special submission for a scientific conference, which presents new significant research findings or breakthroughs that become available after the regular abstract submission deadline for a conference expires.) We expect to provide an update on potential Phase 3 advancement in the first half of 2026.</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of costs associated with our research and development activities, including preclinical and clinical development of our programs, and manufacturing. Our research and development expenses include:</w:t>
      </w:r>
    </w:p>
    <w:p>
      <w:pPr>
        <w:spacing w:after="0" w:line="67" w:lineRule="exact"/>
        <w:rPr>
          <w:sz w:val="20"/>
          <w:szCs w:val="20"/>
          <w:color w:val="auto"/>
        </w:rPr>
      </w:pPr>
    </w:p>
    <w:p>
      <w:pPr>
        <w:ind w:left="1080" w:right="16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arrangements with third parties, such as CROs, consultants, members of our scientific and therapeutic advisory boards, and CMOs;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travel, and stock-based compensation;</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and sub-license fees.</w:t>
      </w:r>
    </w:p>
    <w:p>
      <w:pPr>
        <w:spacing w:after="0" w:line="225"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We may also incur in-process research and development expense as we acquire assets from other parties. Acquired in-process research and development costs that have no alternative future use are immediately expensed.</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are conducting research and development activities primarily on inflammation programs. We have a research and development team that conducts antibody characterization, translational studies, IND-enabling preclinical studies, and clinical development. We conduct some of our preclinical activities internally and plan to rely on third parties, such as CROs and CMOs, for the execution of certain of our research and development activities, such as in vivo toxicology and pharmacology studies, drug product manufacturing, and clinical trials.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our research and development expenses to be consistent for the foreseeable future as we advance our product candidates.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transaction costs, and professional fees for auditing, tax, and legal services.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income consists primarily of interest earned on our short-term and long-term investments and is recognized when earned.</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judgments and estimates that affect the reported amounts of assets, liabilities, revenues, and expenses and the disclosure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00"/>
          </w:cols>
          <w:pgMar w:left="320" w:top="455" w:right="4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w:t>
      </w:r>
    </w:p>
    <w:p>
      <w:pPr>
        <w:spacing w:after="0" w:line="176"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financial statements appearing elsewhere in this information statement, we believe the following accounting policies used in the preparation of our financial statements require the most significant judgments and estimates.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research and development costs incurred during the period, which impacts the amount of accrued expenses and prepaid balances related to such costs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88"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Advance payments for goods and services that will be used in future research and development activities are expensed when the activity has been performed or when the goods have been received rather than when the payment is made.</w:t>
      </w:r>
    </w:p>
    <w:p>
      <w:pPr>
        <w:spacing w:after="0" w:line="19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Stock-Based Awards and Stock-Based Compensation Expense</w:t>
      </w:r>
    </w:p>
    <w:p>
      <w:pPr>
        <w:spacing w:after="0" w:line="121" w:lineRule="exact"/>
        <w:rPr>
          <w:sz w:val="20"/>
          <w:szCs w:val="20"/>
          <w:color w:val="auto"/>
        </w:rPr>
      </w:pPr>
    </w:p>
    <w:p>
      <w:pPr>
        <w:jc w:val="both"/>
        <w:ind w:left="120" w:right="220" w:firstLine="440"/>
        <w:spacing w:after="0" w:line="277" w:lineRule="auto"/>
        <w:rPr>
          <w:sz w:val="20"/>
          <w:szCs w:val="20"/>
          <w:color w:val="auto"/>
        </w:rPr>
      </w:pPr>
      <w:r>
        <w:rPr>
          <w:rFonts w:ascii="Times New Roman" w:cs="Times New Roman" w:eastAsia="Times New Roman" w:hAnsi="Times New Roman"/>
          <w:sz w:val="17"/>
          <w:szCs w:val="17"/>
          <w:color w:val="auto"/>
        </w:rPr>
        <w:t>We currently have no stock-based compensation plan. However, certain of our employees are eligible to participate in AnaptysBio, Inc.’s stock-based compensation plans, which historically has included the granting of stock options, time based restricted stock units (“RSUs”) and performance stock units (“PSUs”). The fair value of the stock options granted is calculated using a Black-Scholes Merton (“Black-Scholes”) option pricing model. The fair value of market-based PSUs is calculated using a Monte Carlo pricing model. The fair value of RSUs and the fair value of the common stock underlying RSUs and PSUs is determined using the closing price of the shares AnaptysBio, Inc. common stock on the date of grant.</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For further information on recently issued accounting pronouncements, see Note 2—Summary of Significant Accounting Policies in the accompanying notes to the combined financial statements included elsewhere in this information statement.</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JOBS Act Accounting Election and Smaller Reporting Company Status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JOBS Act contains provisions that, among other things, reduce certain reporting requirements for an “emerging growth company.” We may elect to use this extended transition period for complying with certain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audited combined financial statements may not be comparable to companies that comply with the new or revised accounting pronouncements as of public company effective dates. Refer to Note 2 to our audited combined financial statements included elsewhere in this information statement for additional information regarding new or revised accounting pronouncements.</w:t>
      </w:r>
    </w:p>
    <w:p>
      <w:pPr>
        <w:spacing w:after="0" w:line="187" w:lineRule="exact"/>
        <w:rPr>
          <w:sz w:val="20"/>
          <w:szCs w:val="20"/>
          <w:color w:val="auto"/>
        </w:rPr>
      </w:pPr>
    </w:p>
    <w:p>
      <w:pPr>
        <w:ind w:left="120" w:right="200" w:firstLine="440"/>
        <w:spacing w:after="0" w:line="270" w:lineRule="auto"/>
        <w:rPr>
          <w:sz w:val="20"/>
          <w:szCs w:val="20"/>
          <w:color w:val="auto"/>
        </w:rPr>
      </w:pPr>
      <w:r>
        <w:rPr>
          <w:rFonts w:ascii="Times New Roman" w:cs="Times New Roman" w:eastAsia="Times New Roman" w:hAnsi="Times New Roman"/>
          <w:sz w:val="17"/>
          <w:szCs w:val="17"/>
          <w:color w:val="auto"/>
        </w:rPr>
        <w:t>We may choose to rely on the other exemptions and reduced reporting requirements provided by the JOBS Act. Subject to certain conditions set forth in the JOBS Act, as an “emerging growth company” we are not required to, among other things, (i) provide an auditor’s attestation report on our system of internal control over financial reporting pursuant to Section 404 of the Sarbanes-Oxley Act; (ii) provide all of the compensation disclosure that may be required of non-emerging growth public companies; (iii) comply with certain types of new requirements adopted by the PCAOB; and</w:t>
      </w:r>
    </w:p>
    <w:p>
      <w:pPr>
        <w:spacing w:after="0" w:line="3" w:lineRule="exact"/>
        <w:rPr>
          <w:sz w:val="20"/>
          <w:szCs w:val="20"/>
          <w:color w:val="auto"/>
        </w:rPr>
      </w:pPr>
    </w:p>
    <w:p>
      <w:pPr>
        <w:ind w:left="120" w:right="120" w:hanging="4"/>
        <w:spacing w:after="0" w:line="253" w:lineRule="auto"/>
        <w:tabs>
          <w:tab w:leader="none" w:pos="42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certain executive compensation-related items, such as the correlation between executive compensation and performance and comparisons of the chief executive officer’s compensation to median employee compensation. We may remain an “emerging growth company” until the last day of the fiscal year following the fifth anniversary of the completion of the Spin-Off. However, if certain events occur prior to the end of such five-year period, including if we become a “large accelerated filer,” our annual gross revenue equals or exceeds $1.235 billion or we issue more than $1.0 billion of non-convertible debt in any three-year period, we will cease to be an “emerging growth company” prior to the end of such five-year period.</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by applicable rules of the SEC.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shares of our voting and non-voting common stock held by non-affiliates is less than $250.0 million measured on the last business day of our second fiscal quarter, or our annual revenue is less than $100.0 million during the most recently completed fiscal year and shares of our voting and non-voting common stock held by non-affiliates is less than $700.0 million measured on the last business day of our second fiscal quarter.</w:t>
      </w:r>
    </w:p>
    <w:p>
      <w:pPr>
        <w:spacing w:after="0" w:line="291" w:lineRule="exact"/>
        <w:rPr>
          <w:sz w:val="20"/>
          <w:szCs w:val="20"/>
          <w:color w:val="auto"/>
        </w:rPr>
      </w:pPr>
    </w:p>
    <w:p>
      <w:pPr>
        <w:ind w:left="560" w:right="41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Results of Operations—Comparison of the Year Ended December 31, 2024 and 2023 </w:t>
      </w:r>
      <w:r>
        <w:rPr>
          <w:rFonts w:ascii="Times New Roman" w:cs="Times New Roman" w:eastAsia="Times New Roman" w:hAnsi="Times New Roman"/>
          <w:sz w:val="18"/>
          <w:szCs w:val="18"/>
          <w:b w:val="1"/>
          <w:bCs w:val="1"/>
          <w:i w:val="1"/>
          <w:iCs w:val="1"/>
          <w:color w:val="auto"/>
        </w:rPr>
        <w:t>Research and Development Expenses</w:t>
      </w: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$152.3 million during the year ended December 31, 2024 compared to $90.3 million during the year ended December 31, 2023, an increase of $62.1 million. The increase is primarily attributable to a $43.6 million increase in clinical and other external costs, a $2.2 million decrease in manufacturing costs, and a $20.7 million increase in internal costs, including a $13.5 million increase in salaries and wages expense, a $6.9 million increase in stock compensation expense, and a $0.3 million increase in other internal costs.</w:t>
      </w:r>
    </w:p>
    <w:p>
      <w:pPr>
        <w:spacing w:after="0" w:line="18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We do not track fully burdened research and development costs separately for each of our product candidates. We review our research and development expenses by focusing on external development and internal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stock-based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p>
      <w:pPr>
        <w:spacing w:after="0" w:line="204"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60" w:type="dxa"/>
            <w:vAlign w:val="bottom"/>
            <w:gridSpan w:val="2"/>
            <w:vMerge w:val="continue"/>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External Costs</w:t>
            </w:r>
          </w:p>
        </w:tc>
        <w:tc>
          <w:tcPr>
            <w:tcW w:w="1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Rosnilimab</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$25,010</w:t>
            </w:r>
          </w:p>
        </w:tc>
        <w:tc>
          <w:tcPr>
            <w:tcW w:w="5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$ 28,412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ANB033</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w:t>
            </w: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ANB101</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520" w:type="dxa"/>
            <w:vAlign w:val="bottom"/>
          </w:tcPr>
          <w:p>
            <w:pPr>
              <w:spacing w:after="0"/>
              <w:rPr>
                <w:sz w:val="18"/>
                <w:szCs w:val="18"/>
                <w:color w:val="auto"/>
              </w:rPr>
            </w:pP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ANB032</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17,197</w:t>
            </w: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Preclinical and other unallocated costs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14,350</w:t>
            </w: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14,526</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External Costs</w:t>
            </w:r>
          </w:p>
        </w:tc>
        <w:tc>
          <w:tcPr>
            <w:tcW w:w="1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109,683</w:t>
            </w:r>
          </w:p>
        </w:tc>
        <w:tc>
          <w:tcPr>
            <w:tcW w:w="5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Internal Costs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Salaries and wages</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$14,758</w:t>
            </w: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$ 13,536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compensation</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5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internal costs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Internal Costs</w:t>
            </w:r>
          </w:p>
        </w:tc>
        <w:tc>
          <w:tcPr>
            <w:tcW w:w="1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42,662</w:t>
            </w:r>
          </w:p>
        </w:tc>
        <w:tc>
          <w:tcPr>
            <w:tcW w:w="5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22,002</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152,345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90,255</w:t>
            </w: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$ 62,090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$28.8 million during the year ended December 31, 2024 compared to $20.9 million during the year ended December 31, 2023, an increase of approximately $7.9 million. The increase is primarily due to a $5.3 million increase in personnel costs, including stock compensation expense, a $1.0 million increase in market research costs, and $1.6 million increase in legal and other general and administrative expenses.</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for the foreseeable future as we incur costs associated with being a publicly traded company, including stock compensation expense,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Interest income was $17.4 million and $12.3 million during the year ended December 31, 2024 and 2023, respectively, which primarily related to our short-term and long-term investments. The increase in interest income is primarily due to the timing of sales, maturities and purchases of our investments.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Our working capital requirements and capital expenditures have historically been satisfied as part of AnaptysBio, Inc.’s corporate-wide cash management and centralized funding programs. This arrangement is not reflective of the manner in which we would have financed our operations had we been a standalone public company during the periods presented. Following the Spin-Off, we expect to incur significant expenses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operating losses for the foreseeable future as we continue the clinical development of our programs and our research activities. We have not yet commercialized any products and we do not expect to generate revenue from sales of products in the near future, if at all.</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176" w:lineRule="exact"/>
        <w:rPr>
          <w:sz w:val="20"/>
          <w:szCs w:val="20"/>
          <w:color w:val="auto"/>
        </w:rPr>
      </w:pPr>
    </w:p>
    <w:p>
      <w:pPr>
        <w:ind w:left="120" w:right="200" w:firstLine="440"/>
        <w:spacing w:after="0" w:line="277" w:lineRule="auto"/>
        <w:rPr>
          <w:sz w:val="20"/>
          <w:szCs w:val="20"/>
          <w:color w:val="auto"/>
        </w:rPr>
      </w:pPr>
      <w:r>
        <w:rPr>
          <w:rFonts w:ascii="Times New Roman" w:cs="Times New Roman" w:eastAsia="Times New Roman" w:hAnsi="Times New Roman"/>
          <w:sz w:val="17"/>
          <w:szCs w:val="17"/>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have entered into or will enter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cash equivalents and investments totaled $420.8 million as of December 31, 2024, compared to $417.9 million as of December 31, 2023.</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After giving pro forma effect to the Spin-Off, our cash, cash equivalents and investments would have totaled $            as of December 31, 2025.</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currently intend to use:</w:t>
      </w:r>
    </w:p>
    <w:p>
      <w:pPr>
        <w:spacing w:after="0" w:line="131" w:lineRule="exact"/>
        <w:rPr>
          <w:sz w:val="20"/>
          <w:szCs w:val="20"/>
          <w:color w:val="auto"/>
        </w:rPr>
      </w:pPr>
    </w:p>
    <w:p>
      <w:pPr>
        <w:ind w:left="1080" w:right="10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$50 million to provide funding for continued clinical trials and development of ANB033 through Phase 1b development in CeD and EoE;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 million to provide funding for continued clinical trials and development of ANB101 through Phase 1a development;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for general corporate purposes.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Based on our current plans, we believe that our existing cash, cash equivalents and investments will fund our current operating plan for at least the next 12 months. We have based this estimate on assumptions that may prove to be wrong, and we could use our capital resources sooner than we expect and we may fail to complete development of one or more of our products. Additionally, the process of testing product candidates in clinical trials and seeking regulatory approval is costly, and the timing of progress and expenses in these trials is uncertain.</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2024 and 2023:</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900" w:type="dxa"/>
            <w:vAlign w:val="bottom"/>
            <w:vMerge w:val="continue"/>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provided by:</w:t>
            </w:r>
          </w:p>
        </w:tc>
        <w:tc>
          <w:tcPr>
            <w:tcW w:w="2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(125,806)</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(93,004)</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95,398</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144,754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117,523</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(87,093)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87,115</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(35,343)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0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0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2024 of $125.8 million was primarily due to our net loss of</w:t>
      </w:r>
    </w:p>
    <w:p>
      <w:pPr>
        <w:spacing w:after="0" w:line="27"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$163.7 million, adjusted for addbacks for non-cash expenses of $18.9 million, which includes depreciation, stock-based compensation, amortization of operating ROU assets, and income from marketable securities, and net increases in working capital of $19.0 million.</w:t>
      </w:r>
    </w:p>
    <w:p>
      <w:pPr>
        <w:spacing w:after="0" w:line="2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during the year ended December 31, 2024 was $95.4 million, primarily due to the sale and maturities of investments of $476.1 million, offset by the acquisition of investments of $380.4 million and the purchases of property and equipment of approximately $0.3 million.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net cash provided by financing activities during the year ended December 31, 2024 of $117.5 million was due to the net investment by AnaptysBio, Inc.</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cancellable contracts.</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For further information related to our operating lease and future minimum annual obligations, see Note 9—Commitments and Contingencies in the accompanying notes to the combined financial statements included elsewhere in this information statement.</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hold certain financial instruments for which a change in prevailing interest rates may cause the principal amount of the marketable securities to fluctuate. Financial instruments that potentially subject us to significant concentrations of credit risk consist primarily of cash and cash equivalents, short-term and long-term investments. We invest our excess cash primarily in money market funds,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As of December 31, 2024 our investment portfolio includes cash, cash equivalents, and investments that earn interest at market rates of $420.8 million. Our investments held during the year were comprised of highly rated instruments such as money market funds, certificates of deposit, agency securities, commercial obligations and U.S. Treasury securities. As of December 31, 2024, the majority of these instruments had a maturity of less than a year. A hypothetical increase or decrease of 100 basis points on the interest rates of our investments would not have a material effect on the fair value of our investment portfolio and any losses would only be realized if we sold the investments prior to maturity.</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conduct a portion of our business with CROs in currencies other than our U.S. dollar functional currency. These transactions give rise to monetary assets and liabilities that are denominated in currencies other than the U.S. dollar. The value of these monetary assets and liabilities are subject to changes in currency exchange rates from the time the transactions are originated until settlement in cash. Our foreign currency exposures are primarily concentrated in the euro, British pound, Australian dollar, and Canadian dollar. Both realized and unrealized gains or losses on the value of these monetary assets and liabilities are included in the determination of net income. We do not hedge our foreign currency exchange rate risk; however, we may do so in the future. As of December 31, 2024, we had no material accounts payable or receivable denominated in foreign currencies, and a hypothetical 10% change in foreign currency exchange rates applicable to our business would not have had a material impact on our combined financial statements.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clinical trial and other operational costs. We do not believe that inflation has had a material effect on our business, financial condition or results of operations during the years ended December 31, 2024 and 2023.</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00"/>
          </w:cols>
          <w:pgMar w:left="320" w:top="455" w:right="4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individuals who are expected to serve as our executive officers and directors upon completion of the Spin-Off:</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20" w:type="dxa"/>
            <w:vAlign w:val="bottom"/>
          </w:tcPr>
          <w:p>
            <w:pPr>
              <w:spacing w:after="0"/>
              <w:rPr>
                <w:sz w:val="16"/>
                <w:szCs w:val="16"/>
                <w:color w:val="auto"/>
              </w:rPr>
            </w:pPr>
          </w:p>
        </w:tc>
        <w:tc>
          <w:tcPr>
            <w:tcW w:w="5620" w:type="dxa"/>
            <w:vAlign w:val="bottom"/>
          </w:tcPr>
          <w:p>
            <w:pPr>
              <w:ind w:left="25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4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Executive Officers:</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20" w:type="dxa"/>
            <w:vAlign w:val="bottom"/>
            <w:tcBorders>
              <w:top w:val="single" w:sz="8" w:color="auto"/>
            </w:tcBorders>
          </w:tcPr>
          <w:p>
            <w:pPr>
              <w:spacing w:after="0"/>
              <w:rPr>
                <w:sz w:val="16"/>
                <w:szCs w:val="16"/>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Faga</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President, Chief Executive Officer and Director, Class III</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Loumeau, J.D.</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Lizzul, M.D., Ph.D.</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2"/>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Mulroy</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20" w:type="dxa"/>
            <w:vAlign w:val="bottom"/>
          </w:tcPr>
          <w:p>
            <w:pPr>
              <w:spacing w:after="0"/>
              <w:rPr>
                <w:sz w:val="19"/>
                <w:szCs w:val="19"/>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Fenton, Ph.D.</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 Class I</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Rita Jain, M.D.</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 Class II</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Orwin</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 Class II</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Anthony Ware, M.D.</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 Class II</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Magda Marquet, Ph.D.</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 Class I</w:t>
            </w:r>
          </w:p>
        </w:tc>
      </w:tr>
      <w:tr>
        <w:trPr>
          <w:trHeight w:val="23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P. Schmid</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 Class III</w:t>
            </w:r>
          </w:p>
        </w:tc>
      </w:tr>
    </w:tbl>
    <w:p>
      <w:pPr>
        <w:spacing w:after="0" w:line="198"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brief biographies describing the backgrounds of the individuals who are expected to serve as our executive officers and directors upon completion of the Spin-Off:</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Director and Executive Officer Biographies</w:t>
      </w:r>
    </w:p>
    <w:p>
      <w:pPr>
        <w:spacing w:after="0" w:line="11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Daniel Faga </w:t>
      </w:r>
      <w:r>
        <w:rPr>
          <w:rFonts w:ascii="Times New Roman" w:cs="Times New Roman" w:eastAsia="Times New Roman" w:hAnsi="Times New Roman"/>
          <w:sz w:val="18"/>
          <w:szCs w:val="18"/>
          <w:color w:val="auto"/>
        </w:rPr>
        <w:t>will be appointed to serve as our President and Chief Executive Officer and a member of our Board effective prior to the completion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Spin-Off. He currently serves as President and Chief Executive Officer and a member of the AnaptysBio, Inc. Board. Mr. Faga previously served as the Interim President and Chief Executive Officer of AnaptysBio, Inc. from March 2022 to August 2023. From January 2020 to November 2021, Mr. Faga served as Chief Operating Officer at Mirati Therapeutics, responsible for leading the company’s corporate strategy, finance, legal and other business operations. Prior to joining Mirati, Mr. Faga served as the Chief Business Officer for Spark Therapeutics, Inc. from May 2016 through December 2019, where he was responsible for leading the company’s corporate strategy, portfolio and new product planning, patient advocacy, business development, alliance management, asset &amp; program management and corporate communications functions. From July 2009 until April 2016, Mr. Faga was a Managing Director at Centerview Partners, an investment banking and advisory firm, where he served as a founding member of Centerview’s healthcare advisory practice. Prior to Centerview, Mr. Faga worked at Merrill Lynch in its healthcare investment banking group and as a management consultant in the Life Sciences Practice at PRTM. Mr. Faga earned a B.S. in Engineering from Cornell University and an M.B.A. in Health Care Management from The Wharton School at the University of Pennsylvania. We believe that Mr. Faga’s extensive industry experience and executive experience provides him with the qualifications and skills to serve on our Board.</w:t>
      </w:r>
    </w:p>
    <w:p>
      <w:pPr>
        <w:spacing w:after="0" w:line="190"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Eric Loumeau, J.D. </w:t>
      </w:r>
      <w:r>
        <w:rPr>
          <w:rFonts w:ascii="Times New Roman" w:cs="Times New Roman" w:eastAsia="Times New Roman" w:hAnsi="Times New Roman"/>
          <w:sz w:val="18"/>
          <w:szCs w:val="18"/>
          <w:color w:val="auto"/>
        </w:rPr>
        <w:t>will be appointed to serve as our Chief Legal Officer, effective prior to the completion of the Spin-Off. Mr. Loumeau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the Chief Legal Officer of AnaptysBio, Inc. since May 2023. He previously served as Chief Operating Officer of AnaptysBio, Inc. from July 2020 to May 2023 and as General Counsel of AnaptysBio, Inc. from August 2018 to May 2023. Mr. Loumeau also served as Interim Chief Financial Officer of AnaptysBio, Inc. from September 2019 to July 2020. Mr. Loumeau previously served as General Counsel and Chief Compliance Officer of Otonomy, Inc. from May 2015 through March 2018. Before joining Otonomy, Mr. Loumeau served as Chief Financial Officer of Rempex Pharmaceuticals, Inc. from June 2011 to December 2013 and continued as Vice President of Legal Affairs from December 2013 until May 2015 following Rempex’s acquisition by The Medicines Company. He also previously functioned as General Counsel</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40"/>
          </w:cols>
          <w:pgMar w:left="320" w:top="455"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at Hollis-Eden Pharmaceuticals, Inc. for over seven years. Mr. Loumeau’s experience as outside corporate counsel at national law firms includes tenures at Skadden, Arps, Slate, Meagher &amp; Flom LLP, Cooley LLP, Mintz Levin Cohn Ferris Glovsky and Popeo PC, and Bass, Berry &amp; Sims PLC.</w:t>
      </w: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Mr. Loumeau received his J.D. from Boalt Hall School of Law at the University of California, Berkeley, and his B.S. in Finance from Brigham Young University.</w:t>
      </w:r>
    </w:p>
    <w:p>
      <w:pPr>
        <w:spacing w:after="0" w:line="17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Paul Lizzul, M.D., Ph.D., M.P.H. </w:t>
      </w:r>
      <w:r>
        <w:rPr>
          <w:rFonts w:ascii="Times New Roman" w:cs="Times New Roman" w:eastAsia="Times New Roman" w:hAnsi="Times New Roman"/>
          <w:sz w:val="18"/>
          <w:szCs w:val="18"/>
          <w:color w:val="auto"/>
        </w:rPr>
        <w:t>will be appointed to serve as our Chief Medical Officer, effective prior to the completion of the Spin-Off. He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the Chief Medical Officer of AnaptysBio, Inc. since July 2020. From January 2020 to July 2020, he served as Executive Medical Director of Amgen Inc. From January 2016 to December 2019, he served as Chief Medical Officer of Sienna Biopharmaceuticals, Inc. Dr. Lizzul previously served as Senior Medical Director and Head of Safety at Kythera Biopharmaceuticals, Inc. from August 2012 until it was acquired by Allergan plc in October 2015. Prior to joining Kythera, Dr. Lizzul served as an Assistant Professor of Dermatology and Associate Director of Clinical Research at the Tufts University School of Medicine where he conducted investigator-initiated and industry-sponsored clinical trials in inflammatory skin diseases (psoriasis). Dr. Lizzul has authored articles in academic journals on topics including inflammation, psoriasis, aesthetics (Kybella) and health care reform. Dr. Lizzul is a diplomat of the American Board of Dermatology and a faculty member of the American Academy of Dermatology and previously served on the FDA’s Dermatology and Ophthalmic Drugs Advisory Committee. Dr. Lizzul is a volunteer member of the teaching faculty in the Department of Dermatology at University of California, Los Angeles School of Medicine. Dr. Lizzul completed his post-graduate medical internship at Greenwich Hospital, Yale University School of Medicine and his dermatology residency at the University of California Davis, where he was appointed chief resident. Dr. Lizzul earned his B.S. in Biology from Rensselaer Polytechnic Institute, and an M.D., Ph.D. in Molecular Genetics and Microbiology and M.P.H. in Epidemiology/Outcomes from the Rutgers/Robert Wood Johnson Medical School. Dr. Lizzul also earned an M.B.A. in Entrepreneurship from the Rutgers Business School.</w:t>
      </w:r>
    </w:p>
    <w:p>
      <w:pPr>
        <w:spacing w:after="0" w:line="18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Dennis Mulroy </w:t>
      </w:r>
      <w:r>
        <w:rPr>
          <w:rFonts w:ascii="Times New Roman" w:cs="Times New Roman" w:eastAsia="Times New Roman" w:hAnsi="Times New Roman"/>
          <w:sz w:val="18"/>
          <w:szCs w:val="18"/>
          <w:color w:val="auto"/>
        </w:rPr>
        <w:t>will be appointed to serve as our Chief Financial Officer, effective prior to the completion of the Spin-Off. He has served as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of AnaptysBio, Inc. since July 2020. From April 2015 to May 2020, Mr. Mulroy served as Chief Financial Officer of La Jolla Pharmaceutical Company. From 2005 to 2015, he served as Chief Financial Officer of Taxus Cardium Pharmaceuticals Group, Inc. From 2004 to 2005, Mr. Mulroy served as Chief Financial Officer of Molecular Imaging, Inc. Mr. Mulroy began his career at Ernst &amp; Young LLP. Mr. Mulroy received a B.B.A. degree in accounting from the University of San Diego and is a Certified Public Accountant (inactive) in the state of California.</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Dennis Fenton </w:t>
      </w:r>
      <w:r>
        <w:rPr>
          <w:rFonts w:ascii="Times New Roman" w:cs="Times New Roman" w:eastAsia="Times New Roman" w:hAnsi="Times New Roman"/>
          <w:sz w:val="18"/>
          <w:szCs w:val="18"/>
          <w:color w:val="auto"/>
        </w:rPr>
        <w:t>will be appointed to serve as a member of our Board, effective prior to the completion of the Spin-Off. He has served as a member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AnaptysBio, Inc. Board. since March 2018. From 1981 to 2008, Dr. Fenton held numerous positions at Amgen, Inc., a biotechnology company, including Executive Vice President from 2000 until 2008, Senior Vice President of Operations from 1995 until 2000 and Senior Vice President of Sales, Marketing and Process Development from 1992 until 1995. Prior to his time at Amgen, Inc., Dr. Fenton served as Senior Research Scientist at Pfizer, Inc., and previously was a research associate and graduate student at Rutgers University. In the past five years, Dr. Fenton previously served on the boards of directors of Sienna Biopharmaceuticals, Inc., Portola Pharmaceuticals, Inc. and Pfenex Inc., a publicly traded company. Dr. Fenton holds a B.S. in Biology from Manhattan College and a Ph.D. in Microbiology from Rutgers University. We believe that Dr. Fenton’s extensive experience in the life sciences industry provides him with the qualifications and skills to serve on our Board</w:t>
      </w:r>
      <w:r>
        <w:rPr>
          <w:rFonts w:ascii="Times New Roman" w:cs="Times New Roman" w:eastAsia="Times New Roman" w:hAnsi="Times New Roman"/>
          <w:sz w:val="18"/>
          <w:szCs w:val="18"/>
          <w:i w:val="1"/>
          <w:iCs w:val="1"/>
          <w:color w:val="auto"/>
        </w:rPr>
        <w:t>.</w:t>
      </w:r>
    </w:p>
    <w:p>
      <w:pPr>
        <w:spacing w:after="0" w:line="185"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Rita Jain, M.D. </w:t>
      </w:r>
      <w:r>
        <w:rPr>
          <w:rFonts w:ascii="Times New Roman" w:cs="Times New Roman" w:eastAsia="Times New Roman" w:hAnsi="Times New Roman"/>
          <w:sz w:val="18"/>
          <w:szCs w:val="18"/>
          <w:color w:val="auto"/>
        </w:rPr>
        <w:t>will be appointed to serve as a member of our Board, effective prior the completion of the Spin-Off. Dr. Jain has served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of the AnaptysBio, Inc. Board since April 2023. Dr. Jain is also currently a member of the board of directors of Celldex Therapeutics, Inc. and previously a board member of Provention Bio, Inc. until its acquisition by Sanofi in April 27, 2023. Dr. Jain was also a member of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00"/>
          </w:cols>
          <w:pgMar w:left="320" w:top="455" w:right="4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40"/>
        <w:spacing w:after="0" w:line="271" w:lineRule="auto"/>
        <w:rPr>
          <w:sz w:val="20"/>
          <w:szCs w:val="20"/>
          <w:color w:val="auto"/>
        </w:rPr>
      </w:pPr>
      <w:r>
        <w:rPr>
          <w:rFonts w:ascii="Times New Roman" w:cs="Times New Roman" w:eastAsia="Times New Roman" w:hAnsi="Times New Roman"/>
          <w:sz w:val="17"/>
          <w:szCs w:val="17"/>
          <w:color w:val="auto"/>
        </w:rPr>
        <w:t>supervisory board of AM-Pharma B.V. since 2020. She previously served on the board of directors of ChemoCentryx, Inc. from 2019 until its acquisition by Amgen in 2022. From 2021 to 2022, Dr. Jain served as Executive Vice President, Chief Medical Officer of ChemoCentryx, Inc. and in 2021 served as Chief Medical Officer of Immunovant, Inc. Additionally, since August 2021, Dr. Jain has served as Chief Executive Officer of Heartwood Biopharma Group, a private consulting group, until September 2023 and currently serves as an independent consultant. From 2017 to 2019, Dr. Jain was Senior Vice President and Chief Medical Officer at Akebia Therapeutics, Inc. From 2013 to 2016, Dr. Jain was a Vice President in Clinical Development at AbbVie Inc., including Vice President of Men’s and Women’s Health and Metabolic Development. Dr. Jain also held various leadership roles at Abbott Laboratories from 2003 through 2012, including as Divisional Vice President of Pain, Respiratory and Metabolic Disease Development. Dr. Jain received her B.S. degree in biology from the Long Island University, and her M.D. from the State University of New York at Stony Brook School of Medicine. We believe that Dr. Jain’s extensive life sciences experience provides her with the qualifications and skills to serve on our Board.</w:t>
      </w:r>
    </w:p>
    <w:p>
      <w:pPr>
        <w:spacing w:after="0" w:line="17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John Orwin </w:t>
      </w:r>
      <w:r>
        <w:rPr>
          <w:rFonts w:ascii="Times New Roman" w:cs="Times New Roman" w:eastAsia="Times New Roman" w:hAnsi="Times New Roman"/>
          <w:sz w:val="18"/>
          <w:szCs w:val="18"/>
          <w:color w:val="auto"/>
        </w:rPr>
        <w:t>will be appointed to serve as Chairman of the Board, effective prior to the completion of the Spin-Off. He has served as a member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the AnaptysBio, Inc. Board since September 2023. Mr. Orwin has been a venture partner at Samsara BioCapital, L.P., a venture capital group, since 2024, and currently serves as the chair of the board of directors of Nested Therapeutics, Inc., a privately held company, serves on the board of directors of Ambrosia Biosciences, Inc., a privately held company, and as executive chairman of the board of directors of Agni Bio, Inc., a privately held company. Mr. Orwin served as the President and Chief Executive Officer of Atreca, Inc. from April 2018 to June 2024. He also has served as a member of the board of directors of CARGO Therapeutics, Inc. since August 2022, and Travere Therapeutics, Inc. since March 2017. He previously served as a member of the boards of directors of Seagen, Inc. from January 2014 until its acquisition by Pfizer Inc. in December 2023 and Array BioPharma, Inc. from November 2012 to July 2019. Mr. Orwin received a B.A. in Economics from Rutgers, The State University of New Jersey and an M.B.A. from New York University. We believe that Mr. Orwin’s extensive industry experience and executive positions at multiple biopharmaceutical companies qualify him to serve on our Board.</w:t>
      </w:r>
    </w:p>
    <w:p>
      <w:pPr>
        <w:spacing w:after="0" w:line="18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 Anthony Ware, M.D. </w:t>
      </w:r>
      <w:r>
        <w:rPr>
          <w:rFonts w:ascii="Times New Roman" w:cs="Times New Roman" w:eastAsia="Times New Roman" w:hAnsi="Times New Roman"/>
          <w:sz w:val="18"/>
          <w:szCs w:val="18"/>
          <w:color w:val="auto"/>
        </w:rPr>
        <w:t>will be appointed to serve as a member of our Board, effective prior the completion of the Spin-Off. Dr. Ware has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member of the AnaptysBio, Inc. Board since August 2017. From 2001 to January 2018, Dr. Ware held numerous positions at Eli Lilly and Company, a global pharmaceutical company, including Senior Vice President of Product Development of Lilly Bio-Medicines from October 2009 to January 2018 and Interim President of Lilly Bio-Medicines from January 2017 to April 2017. Before joining Eli Lilly and Company, Dr. Ware served as Professor of Medicine and Molecular Pharmacology at Albert Einstein College of Medicine in New York, where he was also Chief of Cardiology at Montefiore Medical Center from 1996 to 2001. Before joining Albert Einstein College of Medicine, Dr. Ware was on the faculty of Harvard Medical School from 1984 to 1996 and served as a senior physician and Director of the Coronary Care Unit at Beth Israel Hospital. Dr. Ware received his B.S. from Washburn University, and his M.D. from the University of Kansas. He completed internships and residency at The University of Texas at Houston and Baylor College of Medicine, where he also served as Chief Resident. He completed fellowships both at Baylor and at Harvard Medical School, and is board certified both in internal medicine and cardiovascular disease. We believe that Dr. Ware’s extensive academic and industry experience and significant knowledge of scientific matters provide him with the qualifications and skills to serve on our Board.</w:t>
      </w:r>
    </w:p>
    <w:p>
      <w:pPr>
        <w:spacing w:after="0" w:line="19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Magda Marquet, Ph.D. </w:t>
      </w:r>
      <w:r>
        <w:rPr>
          <w:rFonts w:ascii="Times New Roman" w:cs="Times New Roman" w:eastAsia="Times New Roman" w:hAnsi="Times New Roman"/>
          <w:sz w:val="18"/>
          <w:szCs w:val="18"/>
          <w:color w:val="auto"/>
        </w:rPr>
        <w:t>will be appointed to serve as a member of our Board, effective prior the completion of the Spin-Off. Dr. Marquet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a member of the AnaptysBio, Inc. Board since January 2021. As a former founder and Chief Executive Officer, Dr. Marquet holds a Ph.D. in Biochemical Engineering from INSA/University of Toulouse, France. She has received numerous prestigious awards throughout her career including the 2005 Regional Ernst &amp; Young Entrepreneur of the Year award in the Life Sciences category, the Athena Pinnacle award, the Director of the Year award (Corporate Governance) from the Corporate Directors Forum and has been inducted into the CONNECT Entrepreneur Hall of Fame. Dr. Marquet currently serves on the boards of directors of Arcturus Therapeutics Holdings, Inc., Transcode Therapeutics, Inc., and chairs its compensation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committee and is a member of its audit committee, and Immix Biopharma, Inc., and serves as the chair of its compensation committee. In the last five years, Dr. Marquet also served on the board of directors of Pfenex, Inc., a publicly traded company, until its acquisition by Ligand Pharmaceuticals. We believe Dr. Marquet’s broad operational, fundraising expertise including venture, private equity and venture debt, as well as her expertise in M&amp;A, global commercial development, regulatory strategies and building a winning culture of innovation and strategic growth provides her with the qualifications and skills to serve our Board.</w:t>
      </w:r>
    </w:p>
    <w:p>
      <w:pPr>
        <w:spacing w:after="0" w:line="181"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John P. Schmid </w:t>
      </w:r>
      <w:r>
        <w:rPr>
          <w:rFonts w:ascii="Times New Roman" w:cs="Times New Roman" w:eastAsia="Times New Roman" w:hAnsi="Times New Roman"/>
          <w:sz w:val="17"/>
          <w:szCs w:val="17"/>
          <w:color w:val="auto"/>
        </w:rPr>
        <w:t>will be appointed to serve as a member of our Board, effective prior the completion of the Spin-Off. Mr. Schmid has served as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member of the AnaptysBio, Inc. Board since June 2015. Mr. Schmid served as Chief Financial Officer of Auspex Pharmaceuticals, Inc. from September 2013 to June 2015. Before joining Auspex Pharmaceuticals, Mr. Schmid co-founded Trius Therapeutics, a publicly traded biopharmaceutical company, where he served as the Chief Financial Officer from June 2004 until its merger with Cubist Pharmaceuticals, Inc., in September 2013. Before he joined Trius Therapeutics, Mr. Schmid served as the Chief Financial Officer at GeneFormatics, Inc., a private biotechnology company, from 1998 to 2003, and at Endonetics, a private medical device company, from 1995 to 1998. Mr. Schmid currently serves as a member of the boards of directors of the publicly traded companies Design Therapeutics Inc., and Xeris Pharmaceuticals, both pharmaceutical companies, as well as Helix Acquisition Corp. II, a special purpose acquisition company, and Bright Peak Therapeutics, a private biotechnology company. In the last five years, Mr. Schmid has previously served on the board of directors of Helix Acquisition Corp., a special purpose acquisition company, Neos Therapeutics and Poseida Therapeutics, Inc, both pharmaceutical companies. Mr. Schmid received his M.B.A. from the University of San Diego and his B.A. from Wesleyan University. We believe that Mr. Schmid’s extensive industry experience and executive positions at multiple biopharmaceutical companies qualify him to serve on our Board.</w:t>
      </w:r>
    </w:p>
    <w:p>
      <w:pPr>
        <w:spacing w:after="0" w:line="2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Election of Officers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executive officers are appointed by, and serve at the discretion of, our Board. There are no family relationships among any of our directors or executive officers.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Board will adopt a Code of Conduct and Ethics that applies to all of our employees, officers and directors, including our Chief Executive Officer, Chief Financial Officer and other executive and senior financial officers prior to the completion of the Spin-Off. The full text of our Code of Conduct and Ethics will be posted on the investor relations section of our website at        . Any amendments or waivers of our Code of Conduct and Ethics pertaining to a member of our Board or one of our executive officers will be disclosed on our website at the above referenced address. The reference to our website address in this information statement does not include or incorporate by reference the information on our website into this information statement.</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Board will adopt Corporate Governance Guidelines that will set forth expectations for directors, director independence standards, board committee structure and functions and other policies for the governance of the company. Our Corporate Governance Guidelines will be available without charge on the investor relations section of our website at        . Any amendments to certain provisions of our corporate governance guidelines, or waivers of these provisions, will be disclosed on our website at the above referenced address. The reference to our website address in this information statement does not include or incorporate by reference the information on our website into this information statement.</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Our business and affairs will be organized under the direction of our Board. Effective prior to the completion of the Spin-Off, the Board will consist of seven directors. The positions of Chief Executive Officer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00"/>
          </w:cols>
          <w:pgMar w:left="320" w:top="455" w:right="4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auto"/>
        </w:rPr>
        <w:t>and Chairman of our Board will be held by two different individuals. Daniel Faga will serve as our President and Chief Executive Officer. John Orwin will serve as Chairman of our Board. This separated structure will allow our Chief Executive Officer to focus on our day-to-day business while our Chairman will lead our Board in its fundamental role of providing advice to, and independent oversight of, management. Such separation is appropriate, as it enhances the accountability of the Chief Executive Officer to the Board and strengthens the independence of the Board from management.</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believe that open communication between management and the Board is essential for effective risk management and oversight. Our Board will meet with our Chief Executive Officer and other members of the senior management team at quarterly Board meetings, where, among other topics, they will discuss strategy and risks in the context of reports from the management team and evaluate the risks inherent in significant transactions. While our Board is ultimately responsible for risk oversight, our board committees will assist the Board in fulfilling its oversight responsibilities in certain areas of risk. The audit committee will assist our Board in fulfilling its oversight responsibilities with respect to risk management in the areas of cybersecurity assessment and internal control over financial reporting and disclosure controls and procedures. The compensation committee will assist our Board in assessing risks created by the incentives inherent in our compensation policies. The nominating and corporate governance committee will assist our Board in fulfilling its oversight responsibilities with respect to the management of corporate, legal and regulatory risk.</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Cybersecurity Risk Oversight</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Securing the information of participants in our studies, medical professionals, team members, and other third parties is important to us. Moreover, our Board recognizes the critical importance of maintaining the trust and confidence of our investors, business partners and employees. We will adopt physical, technological, and administrative controls on data security, and will have a defined procedure for data incident detection, containment, response, and remediation. While everyone at our company plays a part in managing these risks, oversight responsibility will be shared by our Board, our audit committee, and management.</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the Spin-Off, our Board will be divided into three staggered classes of directors.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85" w:lineRule="exact"/>
        <w:rPr>
          <w:sz w:val="20"/>
          <w:szCs w:val="20"/>
          <w:color w:val="auto"/>
        </w:rPr>
      </w:pPr>
    </w:p>
    <w:p>
      <w:pPr>
        <w:ind w:left="1080" w:right="40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Dr. Fenton and Dr. Marquet and their terms will expire at the annual meeting of stockholders to be held in 2027;</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Dr. Jain and Mr. Orwin and Dr. Ware and their terms will expire at the annual meeting of stockholders to be held in 2028; and</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Mr. Faga and Mr. Schmid and their terms will expire at the annual meeting of stockholders to be held in 2029.</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Each director’s term continues until the election and qualification of his or her successor, or his or her earlier death, resignation or removal. Our restated certificate of incorporation and restated bylaws that will be in effect upon the closing of the Spin-Off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w:t>
      </w:r>
      <w:r>
        <w:rPr>
          <w:rFonts w:ascii="Times New Roman" w:cs="Times New Roman" w:eastAsia="Times New Roman" w:hAnsi="Times New Roman"/>
          <w:sz w:val="18"/>
          <w:szCs w:val="18"/>
          <w:i w:val="1"/>
          <w:iCs w:val="1"/>
          <w:color w:val="auto"/>
        </w:rPr>
        <w:t>Description of Capital Stock—Anti-Takeover Provisions—Restated Certificate of Incorporation and Restated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Bylaw Provisions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will apply to list our shares on the Exchange and the completion of the Spin-Off is conditioned on shares of our common stock being accepted for listing on the Exchange. Under the rules of the Exchange, independent directors must comprise a majority of a listed company’s Board within a specified period of the closing of the Spin-Off. In addition, the rules of the Exchange require that, subject to specified exceptions, each member of a listed company’s audit, compensation and nominating and corporate governance committees be independent. Under the rules of the Exchange, a director will only qualify as an “independent director” if, in the opinion of that company’s Board, that person does not have a relationship that would interfere with the exercise of independent judgment in carrying out the responsibilities of a director.</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Audit committee members must also satisfy the independence criteria set forth in Rule 10A-3 under the Securities Exchange Act of 1934, as amended. In order to be considered independent for purposes of Rule 10A-3, a member of an audit committee of a listed company may not, other than in his or her capacity as a member of the audit committee, the Board or any other board committee: (i) accept, directly or indirectly, any consulting, advisory or other compensatory fee from the listed company or any of its subsidiaries; or (ii) be an affiliated person of the listed company or any of its subsidiaries. Additionally, compensation committee members must not have a relationship with the listed company that is material to the director’s ability to be independent from management in connection with the duties of a compensation committee member.</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have undertaken a review of the independence of each director and considered whether each director has a material relationship with us that could compromise his or her ability to exercise independent judgment in carrying out his or her responsibilities. As a result of this review, we expect our Board will determine that Dennis Fenton, Ph.D., Rita Jain, M.D., Magda Marquet, Ph.D., John P. Schmid, John Orwin and J. Anthony Ware, M.D., representing six of our seven directors, are “independent directors” as defined under the applicable rules and regulations of the SEC, and the listing requirements and rules of the Exchange. Mr. Faga will not be independent given his role as our President and Chief Executive Officer. In making these determinations, our Board reviewed and discussed information provided by the directors and us with regard to each director’s business and personal activities and relationships as they may relate to us and our management, including the beneficial ownership of our capital stock by each non-employee director and the transactions involving them described in the section entitled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Board will have an audit committee, a compensation committee and a nominating and corporate governance committee, each of which will have the composition and responsibilities described below as of the closing of the Spin-Off. Members serve on these committees until their resignation or until otherwise determined by our Board. Each committee will operate under a charter provided by our Board. Copies of each committee’s charter will be posted on the investor relations section of our website.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initial members of the audit committee will be Dr. Marquet, Mr. Schmid and Dr. Ware. Mr. Schmid will be the chairperson of our audit committee. Dr. Marquet, Mr. Schmid and Dr. Ware each meet the requirements for independence under the current Exchange listing standards and SEC rules and regulations. Each member of our audit committee is financially literate. In addition, we expect our Board to determine that Mr. Schmid is an “audit committee financial expert” as defined in Item 407(d)(5)(ii) of Regulation S-K promulgated under the Securities Act. This designation does not impose any duties, obligations or liabilities that are greater than are generally imposed on members of our audit committee and our Board. Our audit committee will be responsible for, among other things:</w:t>
      </w:r>
    </w:p>
    <w:p>
      <w:pPr>
        <w:spacing w:after="0" w:line="93" w:lineRule="exact"/>
        <w:rPr>
          <w:sz w:val="20"/>
          <w:szCs w:val="20"/>
          <w:color w:val="auto"/>
        </w:rPr>
      </w:pPr>
    </w:p>
    <w:p>
      <w:pPr>
        <w:ind w:left="5480" w:right="360" w:hanging="4824"/>
        <w:spacing w:after="0" w:line="454" w:lineRule="auto"/>
        <w:tabs>
          <w:tab w:leader="none" w:pos="107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financial reporting processes, including our financial statement audits and the integrity of our financial statements; 124</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related person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hiring our registered independent public accounting firm;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cybersecurity risk management process;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with risk assessment and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independence and performance of our independent auditors;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audit committee report to be included in our annual proxy statement.</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initial members of our compensation committee will be Dr. Fenton, Dr. Jain and Mr. Schmid. Dr. Fenton will be the chairperson of our compensation committee. The composition of our compensation committee meets the requirements for independence under the current Exchange listing standards and SEC rules and regulations. Each member of this committee is (i) an outside director, as defined pursuant to Section 162(m) of the Internal Revenue Code of 1986, as amended (the “Code”), and (ii) a non-employee director, as defined in Rule 16b-3 promulgated under the Exchange Act. Our compensation committee will be responsible for, among other things:</w:t>
      </w:r>
    </w:p>
    <w:p>
      <w:pPr>
        <w:spacing w:after="0" w:line="89" w:lineRule="exact"/>
        <w:rPr>
          <w:sz w:val="20"/>
          <w:szCs w:val="20"/>
          <w:color w:val="auto"/>
        </w:rPr>
      </w:pPr>
    </w:p>
    <w:p>
      <w:pPr>
        <w:ind w:left="1080" w:right="58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recommending, approving and reviewing executive officer and director compensation arrangements, plans, policies and programs;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cash-based and equity-based compensation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regarding any other board of director responsibilities relating to executive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compensation policies for elements of risk;</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disclosures contained under the caption “Executive Compensation” for use in our annual proxy statement, if required;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the other responsibilities set forth in its charters as in effect from time to time.</w:t>
      </w:r>
    </w:p>
    <w:p>
      <w:pPr>
        <w:spacing w:after="0" w:line="225"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Our compensation committee plans to retain an independent compensation consultant, Alpine Rewards, to assist in structuring our executive officer and director compensation on an ongoing basis.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initial members of our nominating and corporate governance committee will be Mr. Orwin and Dr. Ware. Mr. Orwin will be the chairperson of our nominating and corporate governance committee. The composition of our nominating and corporate governance committee meets the requirements for independence under the current Exchange listing standards and SEC rules and regulations. Our nominating and corporate governance committee will be responsible for, among other things:</w:t>
      </w:r>
    </w:p>
    <w:p>
      <w:pPr>
        <w:spacing w:after="0" w:line="85" w:lineRule="exact"/>
        <w:rPr>
          <w:sz w:val="20"/>
          <w:szCs w:val="20"/>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considering and recommending candidates for membership on our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corporate governance guidelines and policies;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process of evaluating the performance of our Board;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our Board on other corporate governance matters.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will adopt an Insider Trading Policy governing the purchase, sale, and other dispositions of our securities that applies to all of our personnel, including directors, officers, employees, and other covered persons.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The Insider Trading Policy will also provide that we will not transact in our own securities unless in compliance with U.S. federal and state securities laws. We believe that our Insider Trading Policy will be reasonably designed to promote compliance with insider trading laws, rules, and regulations, and listing standards that will be applicable to us following completion of the Spin-Off.</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did not have a compensation committee during the last completed fiscal year. Compensation of our executive officers during the last completed fiscal year was determined by the board of directors of AnaptysBio, Inc. None of our executive officers has served as a member of the board, or as a member of the compensation or similar committee, of any entity that has one or more executive officers who served on our Board or compensation committee during the year ended December 31, 2024.</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60"/>
          </w:cols>
          <w:pgMar w:left="320" w:top="455" w:right="5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Analysis—Introduction</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a newly formed entity, we did not have any executive officers or pay any compensation during the year ended December 31, 2025. Our named executive officers will continue to serve as executive officers of AnaptysBio, Inc. prior to the Spin-Off and decisions regarding the compensation of our named executive officers prior to the Spin-Off were made by the compensation committee of the AnaptysBio, Inc.’s board of directors. The following disclosure concerns compensation paid or earned by our named executive officers from AnaptysBio, Inc., which may be directly relevant or indicative of the compensation such officers will receive as our named executive officers. Our named executive officers include our expected principal executive officer and our next two most highly compensated executive officers based on compensation from AnaptysBio, Inc.:</w:t>
      </w:r>
    </w:p>
    <w:p>
      <w:pPr>
        <w:spacing w:after="0" w:line="93" w:lineRule="exact"/>
        <w:rPr>
          <w:sz w:val="20"/>
          <w:szCs w:val="20"/>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Daniel Faga, President and Chief Executive Officer and Director;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Lizzul, Chief Medical Officer;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Dennis Mulroy, Chief Financial Officer.</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Anticipated Compensation Program Design Following the Spin-Off</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are in the process of developing an initial executive compensation program in order to attract and retain talented executives and other key employees to lead us as a stand-alone public company. Prior to the Spin-Off, the AnaptysBio, Inc. compensation committee will make certain decisions regarding our compensation program design and take certain actions regarding our executive compensation arrangements following the Spin-Off. Those executive compensation arrangements will be described in a subsequent amendment to this information statement.</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Spin-Off, our Board will form our compensation committee. Following the Spin-Off, our compensation committee will establish the objectives and principles for our executive compensation program and will make additional compensation decisions and actions, including ratifying or modifying our executive compensation arrangements with our named executive officers. It is anticipated that the objectives and principles to be established by our compensation committee will be similar to the objectives and principles that AnaptysBio, Inc. maintained for its executive compensation program in fiscal 2025, as described in this Compensation Discussion and Analysis. Specifically, it is anticipated that we will adopt the 2026 Biopharma Co. Equity Incentive Plan and the 2026 Biopharma Co. Employee Stock Purchase Plan, each will be filed as an exhibit to the registration statement on Form 10 of which this information statement forms a part. However, our compensation committee will review the impact of our separation from AnaptysBio, Inc. and all aspects of compensation and make appropriate adjustments to our compensation programs and practices.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00"/>
          </w:cols>
          <w:pgMar w:left="320" w:top="455" w:right="4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summary information regarding the total compensation that was awarded to, earned by or paid to our expected named executive officers by AnaptysBio, Inc. during the fiscal years ended December 31, 2025 and 2024.</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vMerge w:val="restart"/>
          </w:tcPr>
          <w:p>
            <w:pPr>
              <w:jc w:val="center"/>
              <w:ind w:right="35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320" w:type="dxa"/>
            <w:vAlign w:val="bottom"/>
            <w:gridSpan w:val="2"/>
            <w:vMerge w:val="restart"/>
          </w:tcPr>
          <w:p>
            <w:pPr>
              <w:jc w:val="center"/>
              <w:ind w:right="353"/>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2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060" w:type="dxa"/>
            <w:vAlign w:val="bottom"/>
            <w:vMerge w:val="restart"/>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00" w:type="dxa"/>
            <w:vAlign w:val="bottom"/>
            <w:gridSpan w:val="2"/>
            <w:vMerge w:val="continue"/>
          </w:tcPr>
          <w:p>
            <w:pPr>
              <w:spacing w:after="0"/>
              <w:rPr>
                <w:sz w:val="12"/>
                <w:szCs w:val="12"/>
                <w:color w:val="auto"/>
              </w:rPr>
            </w:pPr>
          </w:p>
        </w:tc>
        <w:tc>
          <w:tcPr>
            <w:tcW w:w="1200" w:type="dxa"/>
            <w:vAlign w:val="bottom"/>
            <w:gridSpan w:val="2"/>
          </w:tcPr>
          <w:p>
            <w:pPr>
              <w:jc w:val="center"/>
              <w:ind w:right="353"/>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Award </w:t>
            </w:r>
            <w:r>
              <w:rPr>
                <w:rFonts w:ascii="Times New Roman" w:cs="Times New Roman" w:eastAsia="Times New Roman" w:hAnsi="Times New Roman"/>
                <w:sz w:val="10"/>
                <w:szCs w:val="10"/>
                <w:b w:val="1"/>
                <w:bCs w:val="1"/>
                <w:color w:val="auto"/>
              </w:rPr>
              <w:t>(1)</w:t>
            </w: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10"/>
                <w:szCs w:val="10"/>
                <w:b w:val="1"/>
                <w:bCs w:val="1"/>
                <w:color w:val="auto"/>
              </w:rPr>
              <w:t>(1)</w:t>
            </w: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20" w:type="dxa"/>
            <w:vAlign w:val="bottom"/>
            <w:gridSpan w:val="2"/>
          </w:tcPr>
          <w:p>
            <w:pPr>
              <w:jc w:val="center"/>
              <w:ind w:right="353"/>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640" w:type="dxa"/>
            <w:vAlign w:val="bottom"/>
          </w:tcPr>
          <w:p>
            <w:pPr>
              <w:jc w:val="right"/>
              <w:ind w:right="15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3"/>
                <w:szCs w:val="13"/>
                <w:b w:val="1"/>
                <w:bCs w:val="1"/>
                <w:color w:val="auto"/>
                <w:w w:val="95"/>
              </w:rPr>
              <w:t>($)</w:t>
            </w:r>
            <w:r>
              <w:rPr>
                <w:rFonts w:ascii="Times New Roman" w:cs="Times New Roman" w:eastAsia="Times New Roman" w:hAnsi="Times New Roman"/>
                <w:sz w:val="18"/>
                <w:szCs w:val="18"/>
                <w:b w:val="1"/>
                <w:bCs w:val="1"/>
                <w:color w:val="auto"/>
                <w:w w:val="95"/>
                <w:vertAlign w:val="superscript"/>
              </w:rPr>
              <w:t>(2)</w:t>
            </w:r>
          </w:p>
        </w:tc>
        <w:tc>
          <w:tcPr>
            <w:tcW w:w="26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Daniel Faga</w:t>
            </w:r>
          </w:p>
        </w:tc>
        <w:tc>
          <w:tcPr>
            <w:tcW w:w="420" w:type="dxa"/>
            <w:vAlign w:val="bottom"/>
            <w:tcBorders>
              <w:top w:val="single" w:sz="8" w:color="auto"/>
              <w:bottom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2025</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706,011</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1,592,001</w:t>
            </w:r>
          </w:p>
        </w:tc>
        <w:tc>
          <w:tcPr>
            <w:tcW w:w="4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3,345,653</w:t>
            </w: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ind w:left="300"/>
              <w:spacing w:after="0" w:line="203" w:lineRule="exact"/>
              <w:rPr>
                <w:sz w:val="20"/>
                <w:szCs w:val="20"/>
                <w:color w:val="auto"/>
              </w:rPr>
            </w:pPr>
            <w:r>
              <w:rPr>
                <w:rFonts w:ascii="Times New Roman" w:cs="Times New Roman" w:eastAsia="Times New Roman" w:hAnsi="Times New Roman"/>
                <w:sz w:val="18"/>
                <w:szCs w:val="18"/>
                <w:color w:val="auto"/>
                <w:w w:val="95"/>
              </w:rPr>
              <w:t>465,968</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ind w:left="400"/>
              <w:spacing w:after="0" w:line="203" w:lineRule="exact"/>
              <w:rPr>
                <w:sz w:val="20"/>
                <w:szCs w:val="20"/>
                <w:color w:val="auto"/>
              </w:rPr>
            </w:pPr>
            <w:r>
              <w:rPr>
                <w:rFonts w:ascii="Times New Roman" w:cs="Times New Roman" w:eastAsia="Times New Roman" w:hAnsi="Times New Roman"/>
                <w:sz w:val="18"/>
                <w:szCs w:val="18"/>
                <w:color w:val="auto"/>
                <w:w w:val="96"/>
              </w:rPr>
              <w:t>24,310</w:t>
            </w:r>
          </w:p>
        </w:tc>
        <w:tc>
          <w:tcPr>
            <w:tcW w:w="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6,133,943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President and Chief Executive Officer and</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4"/>
              </w:rPr>
              <w:t>2024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685,448</w:t>
            </w:r>
          </w:p>
        </w:tc>
        <w:tc>
          <w:tcPr>
            <w:tcW w:w="260" w:type="dxa"/>
            <w:vAlign w:val="bottom"/>
          </w:tcPr>
          <w:p>
            <w:pPr>
              <w:spacing w:after="0"/>
              <w:rPr>
                <w:sz w:val="20"/>
                <w:szCs w:val="20"/>
                <w:color w:val="auto"/>
              </w:rPr>
            </w:pPr>
          </w:p>
        </w:tc>
        <w:tc>
          <w:tcPr>
            <w:tcW w:w="1200" w:type="dxa"/>
            <w:vAlign w:val="bottom"/>
            <w:gridSpan w:val="2"/>
          </w:tcPr>
          <w:p>
            <w:pPr>
              <w:jc w:val="right"/>
              <w:ind w:right="193"/>
              <w:spacing w:after="0" w:line="236" w:lineRule="exact"/>
              <w:rPr>
                <w:sz w:val="20"/>
                <w:szCs w:val="20"/>
                <w:color w:val="auto"/>
              </w:rPr>
            </w:pPr>
            <w:r>
              <w:rPr>
                <w:rFonts w:ascii="Times New Roman" w:cs="Times New Roman" w:eastAsia="Times New Roman" w:hAnsi="Times New Roman"/>
                <w:sz w:val="18"/>
                <w:szCs w:val="18"/>
                <w:color w:val="auto"/>
                <w:w w:val="99"/>
              </w:rPr>
              <w:t>6,889,127</w:t>
            </w:r>
            <w:r>
              <w:rPr>
                <w:rFonts w:ascii="Times New Roman" w:cs="Times New Roman" w:eastAsia="Times New Roman" w:hAnsi="Times New Roman"/>
                <w:sz w:val="26"/>
                <w:szCs w:val="26"/>
                <w:color w:val="auto"/>
                <w:w w:val="99"/>
                <w:vertAlign w:val="superscript"/>
              </w:rPr>
              <w:t>(3)</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5,723,455</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308,452</w:t>
            </w:r>
          </w:p>
        </w:tc>
        <w:tc>
          <w:tcPr>
            <w:tcW w:w="1320" w:type="dxa"/>
            <w:vAlign w:val="bottom"/>
            <w:gridSpan w:val="2"/>
          </w:tcPr>
          <w:p>
            <w:pPr>
              <w:ind w:left="400"/>
              <w:spacing w:after="0" w:line="236" w:lineRule="exact"/>
              <w:rPr>
                <w:sz w:val="20"/>
                <w:szCs w:val="20"/>
                <w:color w:val="auto"/>
              </w:rPr>
            </w:pPr>
            <w:r>
              <w:rPr>
                <w:rFonts w:ascii="Times New Roman" w:cs="Times New Roman" w:eastAsia="Times New Roman" w:hAnsi="Times New Roman"/>
                <w:sz w:val="18"/>
                <w:szCs w:val="18"/>
                <w:color w:val="auto"/>
              </w:rPr>
              <w:t>23,810</w:t>
            </w:r>
            <w:r>
              <w:rPr>
                <w:rFonts w:ascii="Times New Roman" w:cs="Times New Roman" w:eastAsia="Times New Roman" w:hAnsi="Times New Roman"/>
                <w:sz w:val="26"/>
                <w:szCs w:val="26"/>
                <w:color w:val="auto"/>
                <w:vertAlign w:val="superscript"/>
              </w:rPr>
              <w:t>(4)</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13,630,292</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Lizzul</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2025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545,754</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505,703</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1,064,476</w:t>
            </w:r>
          </w:p>
        </w:tc>
        <w:tc>
          <w:tcPr>
            <w:tcW w:w="11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221,031</w:t>
            </w:r>
          </w:p>
        </w:tc>
        <w:tc>
          <w:tcPr>
            <w:tcW w:w="13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28,413</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2,365,377</w:t>
            </w: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4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4"/>
              </w:rPr>
              <w:t>2024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529,859</w:t>
            </w:r>
          </w:p>
        </w:tc>
        <w:tc>
          <w:tcPr>
            <w:tcW w:w="2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2,128,976</w:t>
            </w:r>
          </w:p>
        </w:tc>
        <w:tc>
          <w:tcPr>
            <w:tcW w:w="42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2"/>
              </w:rPr>
              <w:t>(5)</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1,741,973</w:t>
            </w:r>
          </w:p>
        </w:tc>
        <w:tc>
          <w:tcPr>
            <w:tcW w:w="260" w:type="dxa"/>
            <w:vAlign w:val="bottom"/>
          </w:tcPr>
          <w:p>
            <w:pPr>
              <w:spacing w:after="0"/>
              <w:rPr>
                <w:sz w:val="20"/>
                <w:szCs w:val="20"/>
                <w:color w:val="auto"/>
              </w:rPr>
            </w:pPr>
          </w:p>
        </w:tc>
        <w:tc>
          <w:tcPr>
            <w:tcW w:w="8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5"/>
              </w:rPr>
              <w:t>158,958</w:t>
            </w:r>
          </w:p>
        </w:tc>
        <w:tc>
          <w:tcPr>
            <w:tcW w:w="260" w:type="dxa"/>
            <w:vAlign w:val="bottom"/>
          </w:tcPr>
          <w:p>
            <w:pPr>
              <w:spacing w:after="0"/>
              <w:rPr>
                <w:sz w:val="20"/>
                <w:szCs w:val="20"/>
                <w:color w:val="auto"/>
              </w:rPr>
            </w:pPr>
          </w:p>
        </w:tc>
        <w:tc>
          <w:tcPr>
            <w:tcW w:w="9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6"/>
              </w:rPr>
              <w:t>23,742</w:t>
            </w:r>
          </w:p>
        </w:tc>
        <w:tc>
          <w:tcPr>
            <w:tcW w:w="42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2"/>
              </w:rPr>
              <w:t>(6)</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4,583,508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Mulroy</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2025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510,070</w:t>
            </w:r>
          </w:p>
        </w:tc>
        <w:tc>
          <w:tcPr>
            <w:tcW w:w="1200" w:type="dxa"/>
            <w:vAlign w:val="bottom"/>
            <w:gridSpan w:val="2"/>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397,444</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836,687</w:t>
            </w:r>
          </w:p>
        </w:tc>
        <w:tc>
          <w:tcPr>
            <w:tcW w:w="11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224,431</w:t>
            </w:r>
          </w:p>
        </w:tc>
        <w:tc>
          <w:tcPr>
            <w:tcW w:w="13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39,295</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2,007,927</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4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4"/>
              </w:rPr>
              <w:t>2024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495,213</w:t>
            </w:r>
          </w:p>
        </w:tc>
        <w:tc>
          <w:tcPr>
            <w:tcW w:w="2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1,196,600</w:t>
            </w:r>
          </w:p>
        </w:tc>
        <w:tc>
          <w:tcPr>
            <w:tcW w:w="42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2"/>
              </w:rPr>
              <w:t>(7)</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1,368,672</w:t>
            </w:r>
          </w:p>
        </w:tc>
        <w:tc>
          <w:tcPr>
            <w:tcW w:w="260" w:type="dxa"/>
            <w:vAlign w:val="bottom"/>
          </w:tcPr>
          <w:p>
            <w:pPr>
              <w:spacing w:after="0"/>
              <w:rPr>
                <w:sz w:val="19"/>
                <w:szCs w:val="19"/>
                <w:color w:val="auto"/>
              </w:rPr>
            </w:pPr>
          </w:p>
        </w:tc>
        <w:tc>
          <w:tcPr>
            <w:tcW w:w="8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5"/>
              </w:rPr>
              <w:t>148,564</w:t>
            </w:r>
          </w:p>
        </w:tc>
        <w:tc>
          <w:tcPr>
            <w:tcW w:w="260" w:type="dxa"/>
            <w:vAlign w:val="bottom"/>
          </w:tcPr>
          <w:p>
            <w:pPr>
              <w:spacing w:after="0"/>
              <w:rPr>
                <w:sz w:val="19"/>
                <w:szCs w:val="19"/>
                <w:color w:val="auto"/>
              </w:rPr>
            </w:pPr>
          </w:p>
        </w:tc>
        <w:tc>
          <w:tcPr>
            <w:tcW w:w="9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6"/>
              </w:rPr>
              <w:t>29,858</w:t>
            </w:r>
          </w:p>
        </w:tc>
        <w:tc>
          <w:tcPr>
            <w:tcW w:w="42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2"/>
              </w:rPr>
              <w:t>(8)</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3,238,907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20" w:hanging="424"/>
        <w:spacing w:after="0" w:line="253" w:lineRule="auto"/>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Option Awards and Stock Awards columns represent the grant date fair value of the stock options, restricted stock units (“RSUs”) and performance stock units (“PSUs”) granted to the named executive officers by AnaptysBio, Inc. during the years ended December 31, 2025 and 2024 as computed in accordance with ASC Topic 718. The grant date fair value of the 2024 PSUs is estimated based upon the expected achievement of the performance metric specified in the PSU Agreement, using a Monte Carlo simulation. The assumptions used in calculating the grant date fair value of the stock options reported in the Option Awards column are set forth in Note 8 to AnaptysBio, Inc.’s audited consolidated financial statements included in its Annual Report on Form 10-K for the year ended December 31, 2024 filed with the SEC on February 27, 2025. Note that the amounts reported in these columns reflect the accounting cost for these stock options, RSUs and PSUs, and do not correspond to the actual economic value that may be received by the named executive officers from such awards.</w:t>
      </w:r>
    </w:p>
    <w:p>
      <w:pPr>
        <w:ind w:left="540" w:right="280" w:hanging="424"/>
        <w:spacing w:after="0" w:line="250" w:lineRule="auto"/>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“Non-Equity Incentive Plan Compensation” column reflect the annual cash bonuses paid under AnaptysBio, Inc.’s annual cash bonus plan as described in the “</w:t>
      </w:r>
      <w:r>
        <w:rPr>
          <w:rFonts w:ascii="Times New Roman" w:cs="Times New Roman" w:eastAsia="Times New Roman" w:hAnsi="Times New Roman"/>
          <w:sz w:val="18"/>
          <w:szCs w:val="18"/>
          <w:i w:val="1"/>
          <w:iCs w:val="1"/>
          <w:color w:val="auto"/>
        </w:rPr>
        <w:t>—AnaptysBio, Inc.’s Non-Equity Incentive Plan</w:t>
      </w:r>
      <w:r>
        <w:rPr>
          <w:rFonts w:ascii="Times New Roman" w:cs="Times New Roman" w:eastAsia="Times New Roman" w:hAnsi="Times New Roman"/>
          <w:sz w:val="18"/>
          <w:szCs w:val="18"/>
          <w:color w:val="auto"/>
        </w:rPr>
        <w:t>” section below.</w:t>
      </w:r>
    </w:p>
    <w:p>
      <w:pPr>
        <w:ind w:left="540" w:right="120" w:hanging="424"/>
        <w:spacing w:after="0" w:line="250" w:lineRule="auto"/>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time-vesting RSUs, includes $3,949,862 related to PSUs granted to Mr. Faga during the year ended December 31, 2024, contingent on AnaptysBio, Inc. achieving a $50, $75 and $100 share price.</w:t>
      </w:r>
    </w:p>
    <w:p>
      <w:pPr>
        <w:ind w:left="540" w:hanging="424"/>
        <w:spacing w:after="0"/>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401(k) matching contributions and group term life insurance premiums paid by AnaptysBio, Inc. on behalf of Mr. Faga.</w:t>
      </w:r>
    </w:p>
    <w:p>
      <w:pPr>
        <w:spacing w:after="0" w:line="9"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time-vesting RSUs, includes $1,234,334 related to PSUs granted to Dr. Lizzul during the year ended December 31, 2024, contingent on AnaptysBio, Inc. achieving a $50, $75 and $100 share price.</w:t>
      </w:r>
    </w:p>
    <w:p>
      <w:pPr>
        <w:ind w:left="540" w:hanging="424"/>
        <w:spacing w:after="0"/>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401(k) matching contributions and group term life insurance premiums paid by AnaptysBio, Inc. on behalf of Dr. Lizzul.</w:t>
      </w:r>
    </w:p>
    <w:p>
      <w:pPr>
        <w:spacing w:after="0" w:line="9"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time-vesting RSUs, includes $493,728 related to PSUs granted to Mr. Mulroy during the year ended December 31, 2024, contingent on AnaptysBio, Inc. achieving a $50, $75 and $100 share price.</w:t>
      </w:r>
    </w:p>
    <w:p>
      <w:pPr>
        <w:ind w:left="540" w:hanging="424"/>
        <w:spacing w:after="0"/>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401(k) matching contributions and group term life insurance premiums paid by AnaptysBio, Inc. on behalf of Mr. Mulroy.</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40"/>
          </w:cols>
          <w:pgMar w:left="320" w:top="455" w:right="4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Employment Agreements and Offer Letters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Spin-Off, we will, or will cause a member of our group to, assume certain employment and individual agreements with AnaptysBio, Inc.’s. employees, including the employment agreements entered into between AnaptysBio, Inc. and our named executive officers which are discussed below. In connection with or following the Spin-Off we may amend such agreements. However, as of the date hereof, no such amendments have been determined.</w:t>
      </w:r>
    </w:p>
    <w:p>
      <w:pPr>
        <w:spacing w:after="0" w:line="180" w:lineRule="exact"/>
        <w:rPr>
          <w:sz w:val="20"/>
          <w:szCs w:val="20"/>
          <w:color w:val="auto"/>
        </w:rPr>
      </w:pPr>
    </w:p>
    <w:p>
      <w:pPr>
        <w:ind w:left="120" w:right="260" w:firstLine="440"/>
        <w:spacing w:after="0" w:line="312" w:lineRule="auto"/>
        <w:rPr>
          <w:sz w:val="20"/>
          <w:szCs w:val="20"/>
          <w:color w:val="auto"/>
        </w:rPr>
      </w:pPr>
      <w:r>
        <w:rPr>
          <w:rFonts w:ascii="Times New Roman" w:cs="Times New Roman" w:eastAsia="Times New Roman" w:hAnsi="Times New Roman"/>
          <w:sz w:val="17"/>
          <w:szCs w:val="17"/>
          <w:color w:val="auto"/>
        </w:rPr>
        <w:t>AnaptysBio, Inc. has entered into executive employment agreements with each of our named executive officers. The material terms of such AnaptysBio, Inc. agreements are described below. Except as noted below, these executive employment agreements provide for “at will” employment.</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Mr. Faga’s Employment Agreement</w:t>
      </w:r>
    </w:p>
    <w:p>
      <w:pPr>
        <w:spacing w:after="0" w:line="121"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Pursuant to an employment agreement, effective as of August 3, 2023 (the “Faga Employment Agreement,” which amends, restates and supersedes Mr. Faga’s previous employment agreement dated March 21, 2022), Mr. Faga serves as AnaptysBio, Inc.’s President and Chief Executive Officer. The Faga Employment Agreement sets forth the principal terms and conditions of his employment as AnaptysBio, Inc.’s President and Chief Executive Officer, including his initial annual base salary and initial annual target cash bonus opportunity, which bonus may be earned based upon the achievement of specified performance goals (and which will be prorated for his partial year of service). Mr. Faga’s employment is at-will and may be terminated at any time, with or without cause. However, pursuant to the terms of the Faga Employment Agreement, Mr. Faga will be entitled to severance benefits upon a qualifying termination of employment as described in “</w:t>
      </w:r>
      <w:r>
        <w:rPr>
          <w:rFonts w:ascii="Times New Roman" w:cs="Times New Roman" w:eastAsia="Times New Roman" w:hAnsi="Times New Roman"/>
          <w:sz w:val="17"/>
          <w:szCs w:val="17"/>
          <w:i w:val="1"/>
          <w:iCs w:val="1"/>
          <w:color w:val="auto"/>
        </w:rPr>
        <w:t>—Potential Payments upon Termination or Change in Control</w:t>
      </w:r>
      <w:r>
        <w:rPr>
          <w:rFonts w:ascii="Times New Roman" w:cs="Times New Roman" w:eastAsia="Times New Roman" w:hAnsi="Times New Roman"/>
          <w:sz w:val="17"/>
          <w:szCs w:val="17"/>
          <w:color w:val="auto"/>
        </w:rPr>
        <w:t>” below.</w:t>
      </w:r>
    </w:p>
    <w:p>
      <w:pPr>
        <w:spacing w:after="0" w:line="2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Dr. Lizzul’s Employment Agreement</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Pursuant to an employment agreement effective as of July 31, 2020, as amended and restated on April 25, 2022 (the “Lizzul Employment Agreement”), Dr. Lizzul serves as AnaptysBio, Inc.’s Chief Medical Officer. The Lizzul Employment Agreement sets forth the principal terms and conditions of his employment, including his annual base salary, subject to periodic review and an initial annual target cash bonus opportunity, which bonus may be earned based upon the achievement of specified performance goals. Dr. Lizzul’s employment is at will and may be terminated at any time, with or without cause. However, pursuant to the terms of the Lizzul Employment Agreement, Dr. Lizzul will be entitled to severance benefits upon a qualifying termination of employment as described in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 below.</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Mr. Mulroy’s Employment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an employment agreement effective as of July 13, 2020, as amended on April 25, 2022 (the “Mulroy Employment Agreement”),</w:t>
      </w:r>
    </w:p>
    <w:p>
      <w:pPr>
        <w:spacing w:after="0" w:line="2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Mr. Mulroy serves as AnaptysBio, Inc.’s Chief Financial Officer. The Mulroy Employment Agreement set forth the principal terms and conditions of his employment, including his annual base salary, subject to periodic review and an initial annual target cash bonus opportunity, which bonus may be earned based upon the achievement of specified performance goals. Mr. Mulroy’s employment is at will and may be terminated at any time, with or without cause. However, pursuant to the terms of the Mulroy Employment Agreement, Mr. Mulroy will be entitled to severance benefits upon a qualifying termination of employment as described in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 below.</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Pursuant to the Faga Employment Agreement, the Lizzul Employment Agreement and the Mulroy Employment Agreement, in the event that Mr. Faga, Dr. Lizzul or Mr. Mulroy is terminated without “cause”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40"/>
          </w:cols>
          <w:pgMar w:left="320" w:top="455" w:right="4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resigns for “good reason” (each as defined in the applicable employment agreement), provided that each delivers a signed settlement and general release in favor of AnaptysBio, Inc. and satisfies all conditions to make such release effective, (i) in the case of Mr. Faga, he will receive continued severance payments for 12 months, and in the case of Dr. Lizzul and Mr. Mulroy, nine months, (ii) and if each elects continuation coverage under the Consolidated Omnibus Budget Reconciliation Act of 1985 (“COBRA”), AnaptysBio, Inc. will pay directly to the insurance provider of AnaptysBio, Inc.’s group health plans, the monthly premium for such continuation coverage for each officer and his family, for 12 months, in the case of Mr. Faga, and nine months, in the case of Dr. Lizzul and Mr. Mulroy, or such earlier date on which coverage with a new employer is obtained and (iii) in the case of Mr. Faga, 12 months’ accelerated vesting of his AnaptysBio, Inc.’s equity awards that vest solely based on continued service.</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Pursuant to the Faga Employment Agreement, if AnaptysBio, Inc. experiences a change of control and Mr. Faga is terminated without “cause” or resigns for “good reason” (each as defined in the Faga Employment Agreement) upon the occurrence of, or within 13 months following, such change of control, and provided that Mr. Faga delivers a signed settlement and general release in favor of AnaptysBio, Inc. and satisfies all conditions to make such release effective, (i) Mr. Faga will receive the continued severance payments and COBRA premiums described above for eighteen months, (ii) a bonus payment equal to his target bonus payment for the year, (iii) a prorated bonus of his actual bonus for the applicable year of termination, and</w:t>
      </w:r>
    </w:p>
    <w:p>
      <w:pPr>
        <w:spacing w:after="0" w:line="3" w:lineRule="exact"/>
        <w:rPr>
          <w:sz w:val="20"/>
          <w:szCs w:val="20"/>
          <w:color w:val="auto"/>
        </w:rPr>
      </w:pPr>
    </w:p>
    <w:p>
      <w:pPr>
        <w:jc w:val="both"/>
        <w:ind w:left="120" w:right="20" w:hanging="4"/>
        <w:spacing w:after="0" w:line="255" w:lineRule="auto"/>
        <w:tabs>
          <w:tab w:leader="none" w:pos="42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Mr. Faga’s outstanding AnaptysBio, Inc. equity awards will vest in full (other than the 2024 PSUs, for which the AnaptysBio, Inc. board shall determine the PSUs eligible to vest based on the number of PSUs allocated to the achieved share price target (the “Eligible PSUs”) as of the date of the change of control and such Eligible PSUs shall fully vest).</w:t>
      </w:r>
    </w:p>
    <w:p>
      <w:pPr>
        <w:spacing w:after="0" w:line="186"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Pursuant to each of the Lizzul Employment Agreement and the Mulroy Employment Agreement, if AnaptysBio, Inc. experiences a change in control and Dr. Lizzul or Mr. Mulroy, as applicable, is terminated without “cause” or resigns for “good reason” (each as defined in each of the Lizzul Employment Agreement and the Mulroy Employment Agreement) upon the occurrence of, or within 13 months following, such change of control, and provided that Dr. Lizzul or Mr. Mulroy, as applicable, delivers a signed settlement and general release in favor of AnaptysBio, Inc. and satisfies all conditions to make such release effective, (i) Dr. Lizzul or Mr. Mulroy, as applicable, will receive the severance payments and COBRA premiums described above for 12 months, (ii) Dr. Lizzul’s or Mr. Mulroy’s, as applicable, currently outstanding AnaptysBio, Inc. equity awards will vest in full (other than the 2024 PSUs, for which the AnaptysBio, Inc. board shall determine the number of Eligible PSUs based on the achievement of the share price targets on the date of the change of control and such Eligible PSUs shall fully vest) and (iii) Dr. Lizzul or Mr. Mulroy, as applicable, will receive the full payment of his target bonus and a prorated payment of his actual bonus for the applicable year of termination.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80"/>
          </w:cols>
          <w:pgMar w:left="320" w:top="455" w:right="4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2025</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each of our expected named executive officers, information regarding outstanding AnaptysBio, Inc.’s stock options, RSUs and PSUs held as of December 31, 2025:</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3"/>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0" w:type="dxa"/>
            <w:vAlign w:val="bottom"/>
          </w:tcPr>
          <w:p>
            <w:pPr>
              <w:spacing w:after="0"/>
              <w:rPr>
                <w:sz w:val="10"/>
                <w:szCs w:val="10"/>
                <w:color w:val="auto"/>
              </w:rPr>
            </w:pPr>
          </w:p>
        </w:tc>
        <w:tc>
          <w:tcPr>
            <w:tcW w:w="1220" w:type="dxa"/>
            <w:vAlign w:val="bottom"/>
            <w:gridSpan w:val="3"/>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0" w:type="dxa"/>
            <w:vAlign w:val="bottom"/>
          </w:tcPr>
          <w:p>
            <w:pPr>
              <w:spacing w:after="0"/>
              <w:rPr>
                <w:sz w:val="12"/>
                <w:szCs w:val="12"/>
                <w:color w:val="auto"/>
              </w:rPr>
            </w:pPr>
          </w:p>
        </w:tc>
        <w:tc>
          <w:tcPr>
            <w:tcW w:w="12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 w:type="dxa"/>
            <w:vAlign w:val="bottom"/>
          </w:tcPr>
          <w:p>
            <w:pPr>
              <w:spacing w:after="0"/>
              <w:rPr>
                <w:sz w:val="12"/>
                <w:szCs w:val="12"/>
                <w:color w:val="auto"/>
              </w:rPr>
            </w:pPr>
          </w:p>
        </w:tc>
        <w:tc>
          <w:tcPr>
            <w:tcW w:w="122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0" w:type="dxa"/>
            <w:vAlign w:val="bottom"/>
          </w:tcPr>
          <w:p>
            <w:pPr>
              <w:spacing w:after="0"/>
              <w:rPr>
                <w:sz w:val="12"/>
                <w:szCs w:val="12"/>
                <w:color w:val="auto"/>
              </w:rPr>
            </w:pPr>
          </w:p>
        </w:tc>
        <w:tc>
          <w:tcPr>
            <w:tcW w:w="12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 w:type="dxa"/>
            <w:vAlign w:val="bottom"/>
          </w:tcPr>
          <w:p>
            <w:pPr>
              <w:spacing w:after="0"/>
              <w:rPr>
                <w:sz w:val="12"/>
                <w:szCs w:val="12"/>
                <w:color w:val="auto"/>
              </w:rPr>
            </w:pPr>
          </w:p>
        </w:tc>
        <w:tc>
          <w:tcPr>
            <w:tcW w:w="136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9"/>
              </w:rPr>
              <w:t>Option Exercise</w:t>
            </w:r>
          </w:p>
        </w:tc>
        <w:tc>
          <w:tcPr>
            <w:tcW w:w="100" w:type="dxa"/>
            <w:vAlign w:val="bottom"/>
          </w:tcPr>
          <w:p>
            <w:pPr>
              <w:spacing w:after="0"/>
              <w:rPr>
                <w:sz w:val="12"/>
                <w:szCs w:val="12"/>
                <w:color w:val="auto"/>
              </w:rPr>
            </w:pPr>
          </w:p>
        </w:tc>
        <w:tc>
          <w:tcPr>
            <w:tcW w:w="10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96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Grant Date</w:t>
            </w:r>
            <w:r>
              <w:rPr>
                <w:rFonts w:ascii="Times New Roman" w:cs="Times New Roman" w:eastAsia="Times New Roman" w:hAnsi="Times New Roman"/>
                <w:sz w:val="10"/>
                <w:szCs w:val="10"/>
                <w:b w:val="1"/>
                <w:bCs w:val="1"/>
                <w:color w:val="auto"/>
              </w:rPr>
              <w:t>(1)</w:t>
            </w:r>
          </w:p>
        </w:tc>
        <w:tc>
          <w:tcPr>
            <w:tcW w:w="280" w:type="dxa"/>
            <w:vAlign w:val="bottom"/>
          </w:tcPr>
          <w:p>
            <w:pPr>
              <w:spacing w:after="0"/>
              <w:rPr>
                <w:sz w:val="12"/>
                <w:szCs w:val="12"/>
                <w:color w:val="auto"/>
              </w:rPr>
            </w:pPr>
          </w:p>
        </w:tc>
        <w:tc>
          <w:tcPr>
            <w:tcW w:w="120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20" w:type="dxa"/>
            <w:vAlign w:val="bottom"/>
          </w:tcPr>
          <w:p>
            <w:pPr>
              <w:spacing w:after="0"/>
              <w:rPr>
                <w:sz w:val="12"/>
                <w:szCs w:val="12"/>
                <w:color w:val="auto"/>
              </w:rPr>
            </w:pPr>
          </w:p>
        </w:tc>
        <w:tc>
          <w:tcPr>
            <w:tcW w:w="12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9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3"/>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20" w:type="dxa"/>
            <w:vAlign w:val="bottom"/>
          </w:tcPr>
          <w:p>
            <w:pPr>
              <w:spacing w:after="0"/>
              <w:rPr>
                <w:sz w:val="15"/>
                <w:szCs w:val="15"/>
                <w:color w:val="auto"/>
              </w:rPr>
            </w:pPr>
          </w:p>
        </w:tc>
        <w:tc>
          <w:tcPr>
            <w:tcW w:w="1220" w:type="dxa"/>
            <w:vAlign w:val="bottom"/>
            <w:gridSpan w:val="3"/>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20" w:type="dxa"/>
            <w:vAlign w:val="bottom"/>
          </w:tcPr>
          <w:p>
            <w:pPr>
              <w:spacing w:after="0"/>
              <w:rPr>
                <w:sz w:val="15"/>
                <w:szCs w:val="15"/>
                <w:color w:val="auto"/>
              </w:rPr>
            </w:pPr>
          </w:p>
        </w:tc>
        <w:tc>
          <w:tcPr>
            <w:tcW w:w="1360" w:type="dxa"/>
            <w:vAlign w:val="bottom"/>
            <w:gridSpan w:val="3"/>
          </w:tcPr>
          <w:p>
            <w:pPr>
              <w:jc w:val="right"/>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Price ($)</w:t>
            </w:r>
          </w:p>
        </w:tc>
        <w:tc>
          <w:tcPr>
            <w:tcW w:w="100" w:type="dxa"/>
            <w:vAlign w:val="bottom"/>
          </w:tcPr>
          <w:p>
            <w:pPr>
              <w:spacing w:after="0"/>
              <w:rPr>
                <w:sz w:val="15"/>
                <w:szCs w:val="15"/>
                <w:color w:val="auto"/>
              </w:rPr>
            </w:pPr>
          </w:p>
        </w:tc>
        <w:tc>
          <w:tcPr>
            <w:tcW w:w="10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203"/>
        </w:trPr>
        <w:tc>
          <w:tcPr>
            <w:tcW w:w="43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b w:val="1"/>
                <w:bCs w:val="1"/>
                <w:color w:val="auto"/>
              </w:rPr>
              <w:t>Daniel Faga</w:t>
            </w:r>
            <w:r>
              <w:rPr>
                <w:rFonts w:ascii="Times New Roman" w:cs="Times New Roman" w:eastAsia="Times New Roman" w:hAnsi="Times New Roman"/>
                <w:sz w:val="23"/>
                <w:szCs w:val="23"/>
                <w:b w:val="1"/>
                <w:bCs w:val="1"/>
                <w:color w:val="auto"/>
                <w:vertAlign w:val="superscript"/>
              </w:rPr>
              <w:t>(3)</w:t>
            </w: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11/26/2021</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2,321</w:t>
            </w: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31.12</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11/25/2031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11/26/2021</w:t>
            </w:r>
          </w:p>
        </w:tc>
        <w:tc>
          <w:tcPr>
            <w:tcW w:w="148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11,000</w:t>
            </w:r>
          </w:p>
        </w:tc>
        <w:tc>
          <w:tcPr>
            <w:tcW w:w="20" w:type="dxa"/>
            <w:vAlign w:val="bottom"/>
          </w:tcPr>
          <w:p>
            <w:pPr>
              <w:spacing w:after="0"/>
              <w:rPr>
                <w:sz w:val="18"/>
                <w:szCs w:val="18"/>
                <w:color w:val="auto"/>
              </w:rPr>
            </w:pPr>
          </w:p>
        </w:tc>
        <w:tc>
          <w:tcPr>
            <w:tcW w:w="12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31.12</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11/25/2031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02/10/2022</w:t>
            </w:r>
          </w:p>
        </w:tc>
        <w:tc>
          <w:tcPr>
            <w:tcW w:w="148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9,200</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30.44</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02/09/2032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01/06/2023</w:t>
            </w:r>
          </w:p>
        </w:tc>
        <w:tc>
          <w:tcPr>
            <w:tcW w:w="148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142,115</w:t>
            </w:r>
          </w:p>
        </w:tc>
        <w:tc>
          <w:tcPr>
            <w:tcW w:w="12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52,785</w:t>
            </w:r>
          </w:p>
        </w:tc>
        <w:tc>
          <w:tcPr>
            <w:tcW w:w="148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23.23</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01/05/2033</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01/03/2024</w:t>
            </w:r>
          </w:p>
        </w:tc>
        <w:tc>
          <w:tcPr>
            <w:tcW w:w="148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181,901</w:t>
            </w:r>
          </w:p>
        </w:tc>
        <w:tc>
          <w:tcPr>
            <w:tcW w:w="12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197,719</w:t>
            </w:r>
          </w:p>
        </w:tc>
        <w:tc>
          <w:tcPr>
            <w:tcW w:w="148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21.19</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1/02/2034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01/07/2025</w:t>
            </w:r>
          </w:p>
        </w:tc>
        <w:tc>
          <w:tcPr>
            <w:tcW w:w="28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305,500</w:t>
            </w:r>
          </w:p>
        </w:tc>
        <w:tc>
          <w:tcPr>
            <w:tcW w:w="148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14.83</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01/06/2035</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Paul Lizzul</w:t>
            </w:r>
            <w:r>
              <w:rPr>
                <w:rFonts w:ascii="Times New Roman" w:cs="Times New Roman" w:eastAsia="Times New Roman" w:hAnsi="Times New Roman"/>
                <w:sz w:val="25"/>
                <w:szCs w:val="25"/>
                <w:b w:val="1"/>
                <w:bCs w:val="1"/>
                <w:color w:val="auto"/>
                <w:vertAlign w:val="superscript"/>
              </w:rPr>
              <w:t>(4)</w:t>
            </w:r>
          </w:p>
        </w:tc>
        <w:tc>
          <w:tcPr>
            <w:tcW w:w="1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07/30/2020</w:t>
            </w:r>
          </w:p>
        </w:tc>
        <w:tc>
          <w:tcPr>
            <w:tcW w:w="148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83,500</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18.50</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07/29/2030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02/10/2021</w:t>
            </w:r>
          </w:p>
        </w:tc>
        <w:tc>
          <w:tcPr>
            <w:tcW w:w="148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45,000</w:t>
            </w:r>
          </w:p>
        </w:tc>
        <w:tc>
          <w:tcPr>
            <w:tcW w:w="20" w:type="dxa"/>
            <w:vAlign w:val="bottom"/>
          </w:tcPr>
          <w:p>
            <w:pPr>
              <w:spacing w:after="0"/>
              <w:rPr>
                <w:sz w:val="18"/>
                <w:szCs w:val="18"/>
                <w:color w:val="auto"/>
              </w:rPr>
            </w:pPr>
          </w:p>
        </w:tc>
        <w:tc>
          <w:tcPr>
            <w:tcW w:w="12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29.70</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02/09/2031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02/10/2021</w:t>
            </w:r>
          </w:p>
        </w:tc>
        <w:tc>
          <w:tcPr>
            <w:tcW w:w="148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29.70</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02/09/2031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02/10/2022</w:t>
            </w:r>
          </w:p>
        </w:tc>
        <w:tc>
          <w:tcPr>
            <w:tcW w:w="148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67,083</w:t>
            </w:r>
          </w:p>
        </w:tc>
        <w:tc>
          <w:tcPr>
            <w:tcW w:w="12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2,917</w:t>
            </w:r>
          </w:p>
        </w:tc>
        <w:tc>
          <w:tcPr>
            <w:tcW w:w="148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30.44</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02/09/2032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12/15/2022</w:t>
            </w:r>
          </w:p>
        </w:tc>
        <w:tc>
          <w:tcPr>
            <w:tcW w:w="148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15,000</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28.64</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12/14/2032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01/06/2023</w:t>
            </w:r>
          </w:p>
        </w:tc>
        <w:tc>
          <w:tcPr>
            <w:tcW w:w="148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48,905</w:t>
            </w:r>
          </w:p>
        </w:tc>
        <w:tc>
          <w:tcPr>
            <w:tcW w:w="12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18,165</w:t>
            </w:r>
          </w:p>
        </w:tc>
        <w:tc>
          <w:tcPr>
            <w:tcW w:w="148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23.23</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01/05/2033</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01/03/2024</w:t>
            </w:r>
          </w:p>
        </w:tc>
        <w:tc>
          <w:tcPr>
            <w:tcW w:w="148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55,363</w:t>
            </w:r>
          </w:p>
        </w:tc>
        <w:tc>
          <w:tcPr>
            <w:tcW w:w="12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60,177</w:t>
            </w:r>
          </w:p>
        </w:tc>
        <w:tc>
          <w:tcPr>
            <w:tcW w:w="148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21.19</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01/02/2034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01/07/2025</w:t>
            </w:r>
          </w:p>
        </w:tc>
        <w:tc>
          <w:tcPr>
            <w:tcW w:w="28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97,200</w:t>
            </w:r>
          </w:p>
        </w:tc>
        <w:tc>
          <w:tcPr>
            <w:tcW w:w="148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14.83</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01/06/2035</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Dennis Mulroy</w:t>
            </w:r>
            <w:r>
              <w:rPr>
                <w:rFonts w:ascii="Times New Roman" w:cs="Times New Roman" w:eastAsia="Times New Roman" w:hAnsi="Times New Roman"/>
                <w:sz w:val="25"/>
                <w:szCs w:val="25"/>
                <w:b w:val="1"/>
                <w:bCs w:val="1"/>
                <w:color w:val="auto"/>
                <w:vertAlign w:val="superscript"/>
              </w:rPr>
              <w:t>(5)</w:t>
            </w:r>
          </w:p>
        </w:tc>
        <w:tc>
          <w:tcPr>
            <w:tcW w:w="1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07/13/2020</w:t>
            </w:r>
          </w:p>
        </w:tc>
        <w:tc>
          <w:tcPr>
            <w:tcW w:w="148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60,600</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20.16</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07/12/2030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02/10/2021</w:t>
            </w:r>
          </w:p>
        </w:tc>
        <w:tc>
          <w:tcPr>
            <w:tcW w:w="148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45,000</w:t>
            </w:r>
          </w:p>
        </w:tc>
        <w:tc>
          <w:tcPr>
            <w:tcW w:w="20" w:type="dxa"/>
            <w:vAlign w:val="bottom"/>
          </w:tcPr>
          <w:p>
            <w:pPr>
              <w:spacing w:after="0"/>
              <w:rPr>
                <w:sz w:val="18"/>
                <w:szCs w:val="18"/>
                <w:color w:val="auto"/>
              </w:rPr>
            </w:pPr>
          </w:p>
        </w:tc>
        <w:tc>
          <w:tcPr>
            <w:tcW w:w="12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29.70</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02/09/2031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02/10/2021</w:t>
            </w:r>
          </w:p>
        </w:tc>
        <w:tc>
          <w:tcPr>
            <w:tcW w:w="148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29.70</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02/09/2031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02/10/2022</w:t>
            </w:r>
          </w:p>
        </w:tc>
        <w:tc>
          <w:tcPr>
            <w:tcW w:w="148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67,083</w:t>
            </w:r>
          </w:p>
        </w:tc>
        <w:tc>
          <w:tcPr>
            <w:tcW w:w="12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2,917</w:t>
            </w:r>
          </w:p>
        </w:tc>
        <w:tc>
          <w:tcPr>
            <w:tcW w:w="148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30.44</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02/09/2032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12/15/2022</w:t>
            </w:r>
          </w:p>
        </w:tc>
        <w:tc>
          <w:tcPr>
            <w:tcW w:w="148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15,000</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28.64</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12/14/2032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01/06/2023</w:t>
            </w:r>
          </w:p>
        </w:tc>
        <w:tc>
          <w:tcPr>
            <w:tcW w:w="148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41,752</w:t>
            </w:r>
          </w:p>
        </w:tc>
        <w:tc>
          <w:tcPr>
            <w:tcW w:w="12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15,508</w:t>
            </w:r>
          </w:p>
        </w:tc>
        <w:tc>
          <w:tcPr>
            <w:tcW w:w="148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23.23</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01/05/2033</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01/03/2024</w:t>
            </w:r>
          </w:p>
        </w:tc>
        <w:tc>
          <w:tcPr>
            <w:tcW w:w="148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43,499</w:t>
            </w:r>
          </w:p>
        </w:tc>
        <w:tc>
          <w:tcPr>
            <w:tcW w:w="12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47,281</w:t>
            </w:r>
          </w:p>
        </w:tc>
        <w:tc>
          <w:tcPr>
            <w:tcW w:w="148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21.19</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01/02/2034</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01/07/2025</w:t>
            </w:r>
          </w:p>
        </w:tc>
        <w:tc>
          <w:tcPr>
            <w:tcW w:w="280" w:type="dxa"/>
            <w:vAlign w:val="bottom"/>
          </w:tcPr>
          <w:p>
            <w:pPr>
              <w:spacing w:after="0"/>
              <w:rPr>
                <w:sz w:val="20"/>
                <w:szCs w:val="20"/>
                <w:color w:val="auto"/>
              </w:rPr>
            </w:pPr>
          </w:p>
        </w:tc>
        <w:tc>
          <w:tcPr>
            <w:tcW w:w="12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76,400</w:t>
            </w:r>
          </w:p>
        </w:tc>
        <w:tc>
          <w:tcPr>
            <w:tcW w:w="148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14.83</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01/06/2035</w:t>
            </w:r>
          </w:p>
        </w:tc>
        <w:tc>
          <w:tcPr>
            <w:tcW w:w="0" w:type="dxa"/>
            <w:vAlign w:val="bottom"/>
          </w:tcPr>
          <w:p>
            <w:pPr>
              <w:spacing w:after="0"/>
              <w:rPr>
                <w:sz w:val="1"/>
                <w:szCs w:val="1"/>
                <w:color w:val="auto"/>
              </w:rPr>
            </w:pPr>
          </w:p>
        </w:tc>
      </w:tr>
      <w:tr>
        <w:trPr>
          <w:trHeight w:val="373"/>
        </w:trPr>
        <w:tc>
          <w:tcPr>
            <w:tcW w:w="3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480" w:type="dxa"/>
            <w:vAlign w:val="bottom"/>
            <w:gridSpan w:val="4"/>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Equity Incentive</w:t>
            </w:r>
          </w:p>
        </w:tc>
        <w:tc>
          <w:tcPr>
            <w:tcW w:w="11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48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Plan Awards:</w:t>
            </w: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4"/>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122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20" w:type="dxa"/>
            <w:vAlign w:val="bottom"/>
          </w:tcPr>
          <w:p>
            <w:pPr>
              <w:spacing w:after="0"/>
              <w:rPr>
                <w:sz w:val="12"/>
                <w:szCs w:val="12"/>
                <w:color w:val="auto"/>
              </w:rPr>
            </w:pPr>
          </w:p>
        </w:tc>
        <w:tc>
          <w:tcPr>
            <w:tcW w:w="136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Plan Awards: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20" w:type="dxa"/>
            <w:vAlign w:val="bottom"/>
          </w:tcPr>
          <w:p>
            <w:pPr>
              <w:spacing w:after="0"/>
              <w:rPr>
                <w:sz w:val="12"/>
                <w:szCs w:val="12"/>
                <w:color w:val="auto"/>
              </w:rPr>
            </w:pPr>
          </w:p>
        </w:tc>
        <w:tc>
          <w:tcPr>
            <w:tcW w:w="136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20" w:type="dxa"/>
            <w:vAlign w:val="bottom"/>
          </w:tcPr>
          <w:p>
            <w:pPr>
              <w:spacing w:after="0"/>
              <w:rPr>
                <w:sz w:val="12"/>
                <w:szCs w:val="12"/>
                <w:color w:val="auto"/>
              </w:rPr>
            </w:pPr>
          </w:p>
        </w:tc>
        <w:tc>
          <w:tcPr>
            <w:tcW w:w="122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48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 or</w:t>
            </w:r>
          </w:p>
        </w:tc>
        <w:tc>
          <w:tcPr>
            <w:tcW w:w="11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Unearned Shares,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20" w:type="dxa"/>
            <w:vAlign w:val="bottom"/>
          </w:tcPr>
          <w:p>
            <w:pPr>
              <w:spacing w:after="0"/>
              <w:rPr>
                <w:sz w:val="12"/>
                <w:szCs w:val="12"/>
                <w:color w:val="auto"/>
              </w:rPr>
            </w:pPr>
          </w:p>
        </w:tc>
        <w:tc>
          <w:tcPr>
            <w:tcW w:w="122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48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w:t>
            </w: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Units or Other</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960" w:type="dxa"/>
            <w:vAlign w:val="bottom"/>
            <w:vMerge w:val="restart"/>
          </w:tcPr>
          <w:p>
            <w:pPr>
              <w:spacing w:after="0"/>
              <w:rPr>
                <w:sz w:val="12"/>
                <w:szCs w:val="12"/>
                <w:color w:val="auto"/>
              </w:rPr>
            </w:pPr>
          </w:p>
        </w:tc>
        <w:tc>
          <w:tcPr>
            <w:tcW w:w="1340" w:type="dxa"/>
            <w:vAlign w:val="bottom"/>
            <w:gridSpan w:val="4"/>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8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20" w:type="dxa"/>
            <w:vAlign w:val="bottom"/>
          </w:tcPr>
          <w:p>
            <w:pPr>
              <w:spacing w:after="0"/>
              <w:rPr>
                <w:sz w:val="12"/>
                <w:szCs w:val="12"/>
                <w:color w:val="auto"/>
              </w:rPr>
            </w:pPr>
          </w:p>
        </w:tc>
        <w:tc>
          <w:tcPr>
            <w:tcW w:w="122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48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11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Rights That Have</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960" w:type="dxa"/>
            <w:vAlign w:val="bottom"/>
            <w:vMerge w:val="continue"/>
          </w:tcPr>
          <w:p>
            <w:pPr>
              <w:spacing w:after="0"/>
              <w:rPr>
                <w:sz w:val="15"/>
                <w:szCs w:val="15"/>
                <w:color w:val="auto"/>
              </w:rPr>
            </w:pPr>
          </w:p>
        </w:tc>
        <w:tc>
          <w:tcPr>
            <w:tcW w:w="1340" w:type="dxa"/>
            <w:vAlign w:val="bottom"/>
            <w:gridSpan w:val="4"/>
            <w:vMerge w:val="continue"/>
          </w:tcPr>
          <w:p>
            <w:pPr>
              <w:spacing w:after="0"/>
              <w:rPr>
                <w:sz w:val="15"/>
                <w:szCs w:val="15"/>
                <w:color w:val="auto"/>
              </w:rPr>
            </w:pPr>
          </w:p>
        </w:tc>
        <w:tc>
          <w:tcPr>
            <w:tcW w:w="10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gridSpan w:val="4"/>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Vested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120" w:type="dxa"/>
            <w:vAlign w:val="bottom"/>
          </w:tcPr>
          <w:p>
            <w:pPr>
              <w:spacing w:after="0"/>
              <w:rPr>
                <w:sz w:val="15"/>
                <w:szCs w:val="15"/>
                <w:color w:val="auto"/>
              </w:rPr>
            </w:pPr>
          </w:p>
        </w:tc>
        <w:tc>
          <w:tcPr>
            <w:tcW w:w="1360" w:type="dxa"/>
            <w:vAlign w:val="bottom"/>
            <w:gridSpan w:val="3"/>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Vested (#)</w:t>
            </w:r>
          </w:p>
        </w:tc>
        <w:tc>
          <w:tcPr>
            <w:tcW w:w="116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Not Vested ($)</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203"/>
        </w:trPr>
        <w:tc>
          <w:tcPr>
            <w:tcW w:w="43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b w:val="1"/>
                <w:bCs w:val="1"/>
                <w:color w:val="auto"/>
              </w:rPr>
              <w:t>Daniel Faga</w:t>
            </w:r>
            <w:r>
              <w:rPr>
                <w:rFonts w:ascii="Times New Roman" w:cs="Times New Roman" w:eastAsia="Times New Roman" w:hAnsi="Times New Roman"/>
                <w:sz w:val="23"/>
                <w:szCs w:val="23"/>
                <w:b w:val="1"/>
                <w:bCs w:val="1"/>
                <w:color w:val="auto"/>
                <w:vertAlign w:val="superscript"/>
              </w:rPr>
              <w:t>(3)</w:t>
            </w:r>
          </w:p>
        </w:tc>
        <w:tc>
          <w:tcPr>
            <w:tcW w:w="8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01/06/2023</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35,700</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1,730,736</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01/03/2024</w:t>
            </w:r>
          </w:p>
        </w:tc>
        <w:tc>
          <w:tcPr>
            <w:tcW w:w="16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104,032</w:t>
            </w:r>
          </w:p>
        </w:tc>
        <w:tc>
          <w:tcPr>
            <w:tcW w:w="4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5,043,471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07/22/2024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160,000</w:t>
            </w:r>
          </w:p>
        </w:tc>
        <w:tc>
          <w:tcPr>
            <w:tcW w:w="3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7,756,800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01/07/2025</w:t>
            </w:r>
          </w:p>
        </w:tc>
        <w:tc>
          <w:tcPr>
            <w:tcW w:w="16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107,350</w:t>
            </w:r>
          </w:p>
        </w:tc>
        <w:tc>
          <w:tcPr>
            <w:tcW w:w="4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5,204,328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Paul Lizzul</w:t>
            </w:r>
            <w:r>
              <w:rPr>
                <w:rFonts w:ascii="Times New Roman" w:cs="Times New Roman" w:eastAsia="Times New Roman" w:hAnsi="Times New Roman"/>
                <w:sz w:val="25"/>
                <w:szCs w:val="25"/>
                <w:b w:val="1"/>
                <w:bCs w:val="1"/>
                <w:color w:val="auto"/>
                <w:vertAlign w:val="superscript"/>
              </w:rPr>
              <w:t>(4)</w:t>
            </w:r>
          </w:p>
        </w:tc>
        <w:tc>
          <w:tcPr>
            <w:tcW w:w="11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01/06/2023</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12,290</w:t>
            </w:r>
          </w:p>
        </w:tc>
        <w:tc>
          <w:tcPr>
            <w:tcW w:w="4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595,819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01/03/2024</w:t>
            </w:r>
          </w:p>
        </w:tc>
        <w:tc>
          <w:tcPr>
            <w:tcW w:w="16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31,665</w:t>
            </w:r>
          </w:p>
        </w:tc>
        <w:tc>
          <w:tcPr>
            <w:tcW w:w="4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1,535,119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07/22/2024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50,000</w:t>
            </w:r>
          </w:p>
        </w:tc>
        <w:tc>
          <w:tcPr>
            <w:tcW w:w="3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2,424,000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01/07/2025</w:t>
            </w:r>
          </w:p>
        </w:tc>
        <w:tc>
          <w:tcPr>
            <w:tcW w:w="16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34,100</w:t>
            </w:r>
          </w:p>
        </w:tc>
        <w:tc>
          <w:tcPr>
            <w:tcW w:w="4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1,653,168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Dennis Mulroy</w:t>
            </w:r>
            <w:r>
              <w:rPr>
                <w:rFonts w:ascii="Times New Roman" w:cs="Times New Roman" w:eastAsia="Times New Roman" w:hAnsi="Times New Roman"/>
                <w:sz w:val="25"/>
                <w:szCs w:val="25"/>
                <w:b w:val="1"/>
                <w:bCs w:val="1"/>
                <w:color w:val="auto"/>
                <w:vertAlign w:val="superscript"/>
              </w:rPr>
              <w:t>(5)</w:t>
            </w:r>
          </w:p>
        </w:tc>
        <w:tc>
          <w:tcPr>
            <w:tcW w:w="11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01/06/2023</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10,490</w:t>
            </w:r>
          </w:p>
        </w:tc>
        <w:tc>
          <w:tcPr>
            <w:tcW w:w="4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508,555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01/03/2024</w:t>
            </w:r>
          </w:p>
        </w:tc>
        <w:tc>
          <w:tcPr>
            <w:tcW w:w="16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24,877</w:t>
            </w:r>
          </w:p>
        </w:tc>
        <w:tc>
          <w:tcPr>
            <w:tcW w:w="4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1,206,037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07/22/2024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20,000</w:t>
            </w:r>
          </w:p>
        </w:tc>
        <w:tc>
          <w:tcPr>
            <w:tcW w:w="3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969,600</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1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01/07/2025</w:t>
            </w:r>
          </w:p>
        </w:tc>
        <w:tc>
          <w:tcPr>
            <w:tcW w:w="16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26,800</w:t>
            </w:r>
          </w:p>
        </w:tc>
        <w:tc>
          <w:tcPr>
            <w:tcW w:w="44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1,299,264</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3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186055</wp:posOffset>
            </wp:positionV>
            <wp:extent cx="7715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8" w:lineRule="exact"/>
        <w:rPr>
          <w:sz w:val="20"/>
          <w:szCs w:val="20"/>
          <w:color w:val="auto"/>
        </w:rPr>
      </w:pPr>
    </w:p>
    <w:p>
      <w:pPr>
        <w:ind w:left="540" w:right="280" w:hanging="424"/>
        <w:spacing w:after="0" w:line="255"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otherwise noted, the underlying shares of each option vest over four years, with 1/4 of the underlying shares vesting on the first calendar anniversary of the grant date and, thereafter, 1/48 of the underlying shares vest on the same day of each succeeding calendar month, subject to the optionee’s employment with AnaptysBio, Inc. through each applicable vesting date, such that 100% of the underlying shares will have vested on the fourth calendar anniversary of the grant date.</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closing price of AnaptysBio, Inc.’s common stock on December 31, 2025, the last trading date of 2025, of $48.48.</w:t>
      </w:r>
    </w:p>
    <w:p>
      <w:pPr>
        <w:spacing w:after="0" w:line="9"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vest as to their underlying shares as follows: (i) the shares underlying the 2,321 options granted on November 26, 2021 have fully vested; (ii) the 11,000 shares underlying the option granted on November 26, 2021 have fully vested; (iii) the 9,200 shares underlying the option granted on February 10, 2022 have fully vested; (iv) of the 194,900 shares underlying the option granted on January 6, 2023, 1/4 vested on January 6, 2024, and 1/48 vest on the sixth of each succeeding calendar month, starting February 6, 2024; (v) of the shares underlying the 71,400 RSUs granted on January 6, 2023, 1/4 vested on January 6, 2024 and 1/4 vest annually thereafter; (vi) of the 379,620 shares underlying the option granted on January 3, 2024, 1/4 vested on January 3, 2025 and 1/48 vest on the third of each succeeding calendar month, starting February 3, 2025; (vii) of the shares underlying the 138,710 RSUs granted on January 3, 2024, 1/4 vested on January 3, 2025 and 1/4 vest annually thereafter; (viii) of the shares underlying the 160,000 PSUs granted on July 22, 2024, 50% will vest on the later of the one-year anniversary of the achievement of the applicable performance metric or July 1, 2026 and 50% will vest on the two- year anniversary of the achievement of the applicable performance metric (but no later than July 1, 2028); (ix) of the 305,500 shares underlying the option granted on January 7, 2025, 1/4 vested on January 7, 2026 and 1/48 will vest on the seventh day of each succeeding calendar month, starting February 7, 2026; and (x) of the shares underlying the 107,350 RSUs granted on January 7, 2025, 1/4 vested on January 7, 2026 and 1/4 vest annually thereafter. If AnaptysBio, Inc. experiences a change in control and Mr. Faga experiences a qualifying termination, Mr. Faga is eligible for certain accelerated vesting as described above under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w:t>
      </w:r>
    </w:p>
    <w:p>
      <w:pPr>
        <w:spacing w:after="0" w:line="5" w:lineRule="exact"/>
        <w:rPr>
          <w:rFonts w:ascii="Times New Roman" w:cs="Times New Roman" w:eastAsia="Times New Roman" w:hAnsi="Times New Roman"/>
          <w:sz w:val="18"/>
          <w:szCs w:val="18"/>
          <w:color w:val="auto"/>
        </w:rPr>
      </w:pPr>
    </w:p>
    <w:p>
      <w:pPr>
        <w:ind w:left="540" w:hanging="424"/>
        <w:spacing w:after="0" w:line="251"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vest as to their underlying shares as follows: (i) the shares underlying the 10,000 options granted on February 10, 2021 have fully vested; (ii) the 85,000 shares underlying the option granted on July 30, 2020 have fully vested; (iii) of the 45,000 shares underlying one of the options granted on February 10, 2021, 1/4 vested on February 10, 2022, and 1/48 vest on the tenth day of each succeeding calendar month, starting March 10, 2022; (iv) of the 70,000 shares underlying the options granted on February 10, 2022, 1/4 vested on February 10, 2023, and 1/48 vest on the tenth day of each succeeding calendar month, starting March 10, 2023; (v) 15,000 shares underlying one of the options granted on December 15, 2022 vested upon achievement of certain performance conditions; (vi) of the 67,070 shares underlying the option granted on January 6, 2023, 1/4 vested on January 6, 2024, and 1/48 vest on the sixth of each succeeding calendar month, starting February 6, 2024; (vii) of the shares underlying the 24,580 RSUs granted on January 6, 2023, 1/4 vested on January 6, 2024 and 1/4 vest annually thereafter; (viii) of the 115,540 shares underlying the option granted on January 3, 2024, 1/4 vested on January 3, 2025 and 1/48 will vest on the third day of each succeeding calendar month, starting February 3, 2025; (ix) of the shares underlying the 42,220 RSUs granted on January 3, 2024, 1/4 vested on January 3, 2025 and 1/4 vest annually thereafter; (x) the shares underlying the 50,000 PSUs granted on July 22, 2024, 50% will vest on the later of the one-year anniversary of the achievement of the applicable performance metric or July 1, 2026 and 50% will vest on the two-year anniversary of the achievement of the applicable performance metric (but no later than July 1, 2028); (xi) of the 97,200 shares underlying the option granted on January 7, 2025, 1/4 vested on January 7, 2026 and 1/48 will vest on the seventh day of each succeeding calendar month, starting February 6, 2026; and (xii) of the shares underlying the 34,100 RSUs granted on January 7, 2025, 1/4 vested on January 7, 2026 and 1/4 vest annually thereafter. If AnaptysBio, Inc. experiences a change in control and Dr. Lizzul experiences a qualifying termination, Dr. Lizzul is eligible for certain accelerated vesting as described above under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540" w:right="20" w:hanging="424"/>
        <w:spacing w:after="0" w:line="252"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options vest as to their underlying shares as follows: (i) the shares underlying the 80,600 options granted on August 13, 2020 have fully vested; (ii) the 45,000 shares underlying one of the options granted on February 10, 2021, 1/4 vested on February 10, 2022, and 1/48 vest on the tenth day of each succeeding calendar month, starting on March 10, 2022; (iii) the shares underlying the 10,000 options granted on February 10, 2021 have fully vested; (iv) of the 70,000 shares underlying the options granted on February 10, 2022, 1/4 vested on February 10, 2023, and 1/48 vest on the tenth day of each succeeding calendar month, starting March 10, 2023; (v) 15,000 shares underlying one of the options granted on December 15, 2022 vested upon achievement of certain performance conditions; (vi) of the 57,260 shares underlying the option granted on January 6, 2023, 1/4 vested on January 6, 2024, and 1/48 vest on the sixth of each succeeding calendar month, starting February 6, 2024; (vii) of the shares underlying the 20,980 RSUs granted on January 3, 2024, 1/4 vested on January 3, 2025 and 1/4 vest annually thereafter; (viii) of the 90,780 shares underlying the option granted on January 3, 2024, 1/4 vested on January 3, 2025 and 1/48 will vest on the third day of each succeeding calendar month, starting February 3, 2025; (ix) of the shares underlying the 33,170 RSUs granted on January 3, 2024, 1/4 vested January 3, 2025 and 1/4 vest annually thereafter; (x) the shares underlying the 20,000 PSUs granted on July 22, 2024, 50% will vest on the later of the 1-year anniversary of the achievement of the applicable performance metric or July 1, 2026 and 50% will vest on the 2-year anniversary of the achievement of the applicable performance metric (but no later than July 1, 2028); (xi) of the 76,400 shares underlying the option granted on January 7, 2025, 1/4 vested on January 7, 2026 and 1/48 will vest on the seventh day of each succeeding calendar month, starting February 6, 2026; and (xii) of the shares underlying the 26,800 RSUs granted on January 7, 2025, 1/4 vested on January 7, 2026 and 1/4 vest annually thereafter. If AnaptysBio, Inc. experiences a change in control and Mr. Mulroy experiences a qualifying termination, Mr. Mulroy is eligible for certain accelerated vesting as described above under “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w:t>
      </w:r>
    </w:p>
    <w:p>
      <w:pPr>
        <w:spacing w:after="0" w:line="29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AnaptysBio, Inc.’s Non-Equity Incentive Plan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Participants in AnaptysBio, Inc.’s 2025 Cash Bonus Plan were eligible to receive a bonus payment based upon the attainment of one or more corporate performance goals that were selected and approved by AnaptysBio, Inc.’s compensation committee and which related to financial and operational metrics that were important to AnaptysBio, Inc. The corporate performance component of the 2025 Cash Bonus Plan was to be funded based on AnaptysBio, Inc.’s actual results for the year as evaluated against these performance goals and an individual component that together account for 100% of the named executive officers total bonus opportunity.</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December 2024, AnaptysBio, Inc.’s board of directors approved corporate performance goals in each of the following categories for purposes of the 2025 Cash Bonus Plan:</w:t>
      </w:r>
    </w:p>
    <w:p>
      <w:pPr>
        <w:spacing w:after="0" w:line="63" w:lineRule="exact"/>
        <w:rPr>
          <w:sz w:val="20"/>
          <w:szCs w:val="20"/>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Rosnilimab RA</w:t>
      </w:r>
      <w:r>
        <w:rPr>
          <w:rFonts w:ascii="Times New Roman" w:cs="Times New Roman" w:eastAsia="Times New Roman" w:hAnsi="Times New Roman"/>
          <w:sz w:val="18"/>
          <w:szCs w:val="18"/>
          <w:color w:val="auto"/>
        </w:rPr>
        <w:t>—(a) Read out RA P2b top-line results in Q1 2025 and (b) Enable P3 development plan;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Rosnilimab UC</w:t>
      </w:r>
      <w:r>
        <w:rPr>
          <w:rFonts w:ascii="Times New Roman" w:cs="Times New Roman" w:eastAsia="Times New Roman" w:hAnsi="Times New Roman"/>
          <w:sz w:val="18"/>
          <w:szCs w:val="18"/>
          <w:color w:val="auto"/>
        </w:rPr>
        <w:t>—(a) Read out UC P2 top-line results by Q4 2025 and (b) Enable P3 development plan;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Early Portfolio and Expansion—</w:t>
      </w:r>
      <w:r>
        <w:rPr>
          <w:rFonts w:ascii="Times New Roman" w:cs="Times New Roman" w:eastAsia="Times New Roman" w:hAnsi="Times New Roman"/>
          <w:sz w:val="18"/>
          <w:szCs w:val="18"/>
          <w:color w:val="auto"/>
        </w:rPr>
        <w:t>(a) ANB033 (CD122 antagonist): on track to read out top-line P1b results in celiac disease in 2026; (b)</w:t>
      </w:r>
    </w:p>
    <w:p>
      <w:pPr>
        <w:spacing w:after="0" w:line="3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ANB101 (BDCA2 modulator): on track for P1 results in 2026; (c) conduct certain business development activities;</w:t>
      </w:r>
    </w:p>
    <w:p>
      <w:pPr>
        <w:spacing w:after="0" w:line="108" w:lineRule="exact"/>
        <w:rPr>
          <w:rFonts w:ascii="Times New Roman" w:cs="Times New Roman" w:eastAsia="Times New Roman" w:hAnsi="Times New Roman"/>
          <w:sz w:val="18"/>
          <w:szCs w:val="18"/>
          <w:color w:val="auto"/>
        </w:rPr>
      </w:pPr>
    </w:p>
    <w:p>
      <w:pPr>
        <w:ind w:left="1080" w:right="680" w:hanging="532"/>
        <w:spacing w:after="0" w:line="286"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Capitalization</w:t>
      </w:r>
      <w:r>
        <w:rPr>
          <w:rFonts w:ascii="Times New Roman" w:cs="Times New Roman" w:eastAsia="Times New Roman" w:hAnsi="Times New Roman"/>
          <w:sz w:val="18"/>
          <w:szCs w:val="18"/>
          <w:color w:val="auto"/>
        </w:rPr>
        <w:t>—Manage operating expenses within approved budget, extend cash runway, conduct certain business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and</w:t>
      </w:r>
    </w:p>
    <w:p>
      <w:pPr>
        <w:spacing w:after="0" w:line="60" w:lineRule="exact"/>
        <w:rPr>
          <w:rFonts w:ascii="Times New Roman" w:cs="Times New Roman" w:eastAsia="Times New Roman" w:hAnsi="Times New Roman"/>
          <w:sz w:val="18"/>
          <w:szCs w:val="18"/>
          <w:color w:val="auto"/>
        </w:rPr>
      </w:pPr>
    </w:p>
    <w:p>
      <w:pPr>
        <w:ind w:left="1080" w:right="120" w:hanging="532"/>
        <w:spacing w:after="0" w:line="286"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Organizational Talent and Culture</w:t>
      </w:r>
      <w:r>
        <w:rPr>
          <w:rFonts w:ascii="Times New Roman" w:cs="Times New Roman" w:eastAsia="Times New Roman" w:hAnsi="Times New Roman"/>
          <w:sz w:val="18"/>
          <w:szCs w:val="18"/>
          <w:color w:val="auto"/>
        </w:rPr>
        <w:t>—Retain, develop and recruit leadership to support future growth expectations and ensure consistent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culture, vision and values.</w:t>
      </w:r>
    </w:p>
    <w:p>
      <w:pPr>
        <w:spacing w:after="0" w:line="15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Each corporate performance goal was evaluated and selected according to AnaptysBio, Inc.’s compensation committee’s assessment of its relative importance to the execution of the annual business plan. AnaptysBio, Inc.’s primary focus was on clinical development and research programs, as they are key drivers of their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60"/>
        <w:spacing w:after="0" w:line="312" w:lineRule="auto"/>
        <w:rPr>
          <w:sz w:val="20"/>
          <w:szCs w:val="20"/>
          <w:color w:val="auto"/>
        </w:rPr>
      </w:pPr>
      <w:r>
        <w:rPr>
          <w:rFonts w:ascii="Times New Roman" w:cs="Times New Roman" w:eastAsia="Times New Roman" w:hAnsi="Times New Roman"/>
          <w:sz w:val="17"/>
          <w:szCs w:val="17"/>
          <w:color w:val="auto"/>
        </w:rPr>
        <w:t>business. The remainder of the bonus opportunity was allocated to managing operations such as finance, retaining, developing and recruiting leadership to support future growth, and ensuring consistent company culture, which are also necessary for the execution of AnaptysBio Inc.’s business plan.</w:t>
      </w:r>
    </w:p>
    <w:p>
      <w:pPr>
        <w:spacing w:after="0" w:line="14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For purposes of the 2025 Cash Bonus Plan, AnaptysBio, Inc.’s compensation committee reserved the discretion to consider the level of achievement of a particular performance goal, or other corporate achievements during 2025 when determining the actual funding level for this component of the plan. This discretion enables AnaptysBio, Inc.’s executive officers to focus on the pre-established corporate goals, while also providing flexibility for AnaptysBio, Inc.’s executive officers to be nimble in responding to new developments and setbacks, which is necessary for the execution of AnaptysBio, Inc.’s business plan.</w:t>
      </w:r>
    </w:p>
    <w:p>
      <w:pPr>
        <w:spacing w:after="0" w:line="183"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In December 2025, AnaptysBio, Inc.’s compensation committee reviewed performance against the corporate goals. AnaptysBio, Inc.’s compensation committee recognized the effective execution and significant progress made on certain critical business goals, including the advancement of clinical programs and the achievement of internal research goals and those related to AnaptysBio, Inc.’s partnered programs; however, AnaptysBio, Inc.’s compensation committee also acknowledged the achievement of other corporate goals including positive stockholder return in 2025. Accordingly, AnaptysBio, Inc.’s compensation committee recommended and their board determined that the corporate goals were achieved at 110% of target.</w:t>
      </w:r>
    </w:p>
    <w:p>
      <w:pPr>
        <w:spacing w:after="0" w:line="2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Biopharma Co.’s Equity Compensation Plan Information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Biopharma Co. 2026 Equity Incentive Plan</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2026 Biopharma Co. Equity Incentive Plan (the “2026 Plan”), which our named executive officers will participate in, will be filed as an exhibit to the registration statement on Form 10 of which this information statement forms a part.</w:t>
      </w:r>
    </w:p>
    <w:p>
      <w:pPr>
        <w:spacing w:after="0" w:line="16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 Awards. </w:t>
      </w:r>
      <w:r>
        <w:rPr>
          <w:rFonts w:ascii="Times New Roman" w:cs="Times New Roman" w:eastAsia="Times New Roman" w:hAnsi="Times New Roman"/>
          <w:sz w:val="18"/>
          <w:szCs w:val="18"/>
          <w:color w:val="auto"/>
        </w:rPr>
        <w:t>The 2026 Plan will provide for the grant of incentive stock options, or ISOs, nonstatutory stock options, or NSOs,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rights, restricted stock awards, restricted stock unit awards, performance-based share awards and other forms of equity compensation, which Biopharma Co. refers to collectively as share awards. Additionally, the 2026 Plan will provide for the grant of performance cash awards. ISOs may be granted only to employees. All other awards may be granted to employees, including officers, and to non-employee directors and consultants of Biopharma Co. and its affiliates.</w:t>
      </w:r>
    </w:p>
    <w:p>
      <w:pPr>
        <w:spacing w:after="0" w:line="183" w:lineRule="exact"/>
        <w:rPr>
          <w:sz w:val="20"/>
          <w:szCs w:val="20"/>
          <w:color w:val="auto"/>
        </w:rPr>
      </w:pPr>
    </w:p>
    <w:p>
      <w:pPr>
        <w:ind w:left="120" w:right="140" w:firstLine="440"/>
        <w:spacing w:after="0" w:line="265" w:lineRule="auto"/>
        <w:rPr>
          <w:sz w:val="20"/>
          <w:szCs w:val="20"/>
          <w:color w:val="auto"/>
        </w:rPr>
      </w:pP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At all times Biopharma Co. shall reserve and keep available a sufficient number of shares as shall be required to satisfy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of all outstanding awards granted under the 2026 Plan. The 2026 Plan will initially authorize for issuance up to         shares of Biopharma Co.’s common shares, and the share reserve will increase automatically on January 1 of each of 2027 through 2036 by the lesser of (i) such number of shares equal to   % of the aggregate number of outstanding shares of Biopharma Co’s common stock as of the immediately preceding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or (ii) such other number determined by the Biopharma Co. board of directors.</w:t>
      </w:r>
    </w:p>
    <w:p>
      <w:pPr>
        <w:spacing w:after="0" w:line="5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Reversion of Shares</w:t>
      </w:r>
      <w:r>
        <w:rPr>
          <w:rFonts w:ascii="Times New Roman" w:cs="Times New Roman" w:eastAsia="Times New Roman" w:hAnsi="Times New Roman"/>
          <w:sz w:val="18"/>
          <w:szCs w:val="18"/>
          <w:color w:val="auto"/>
        </w:rPr>
        <w:t>. If a share award granted under the 2026 Plan expires or otherwise terminates without being exercised in full, or is settled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the common shares not acquired pursuant to the share award again will become available for subsequent issuance under the 2026 Plan. In addition, the following types of shares under the 2026 Plan may become available for the grant of new share awards under the 2026 Plan: (1) common shares that are forfeited to or repurchased by us prior to becoming fully vested; (2) common shares withheld or reacquired to satisfy income or employment withholding taxes; or (3) common shares used to pay the exercise or purchase price of a share award.</w:t>
      </w:r>
    </w:p>
    <w:p>
      <w:pPr>
        <w:spacing w:after="0" w:line="183"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Biopharma Co.’s compensation committee, or the board acting as the compensation committee, has the authority to administer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Plan. Biopharma Co.’s compensation committee will determine recipients, dates of grant, the numbers and types of awards to be granted and the terms and conditions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00"/>
          </w:cols>
          <w:pgMar w:left="320" w:top="455" w:right="4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of the awards, including the period of their exercisability and vesting schedule applicable to an award. Biopharma Co.’s compensation committee will also determine the exercise price, strike price or purchase price of awards granted and the types of consideration to be paid for the award. Biopharma Co.’s compensation committee will have the authority to modify outstanding awards under the 2026 Plan.</w:t>
      </w:r>
    </w:p>
    <w:p>
      <w:pPr>
        <w:spacing w:after="0" w:line="17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ISOs and NSOs may also be granted pursuant to stock option agreements adopted by the Biopharma Co.’s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Biopharma Co.’s compensation committee will determine the exercise price for a stock option, within the terms and conditions of the 2026 Plan, provided that the exercise price of a stock option generally cannot be less than 100% of the fair market value of our common shares on the date of grant. Options granted under the 2026 Plan will vest at the rate specified by Biopharma Co.’s compensation committee.</w:t>
      </w:r>
    </w:p>
    <w:p>
      <w:pPr>
        <w:spacing w:after="0" w:line="18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Biopharma Co.’s compensation committee will determine the term of stock options granted under the 2026 Plan, up to a maximum of 10 years. Unless the terms of an optionholder’s stock option agreement provide otherwise, if an optionholder’s service relationship with Biopharma Co., or any of its affiliates, ceases (i) for any reason other than cause, disability or death, the optionholder may generally exercise any vested options for a period of       months following the cessation of service with Biopharma Co., (ii) due to disability or death, or an optionholder dies within a certain period following cessation of service, the optionholder or a beneficiary may generally exercise any vested options for a period of 12 months, or (iii) for cause, the optionholder’s options will generally expire at such time. In no event may an option be exercised beyond the expiration of its term.</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Acceptable consideration for the purchase of common shares issued upon the exercise of a stock option will be determined by the Biopharma Co. compensation committee and may include (1) cash, check, or bank draft, (2) a broker-assisted cashless exercise, (3) the tender of common shares previously owned by the optionholder, (4) a net exercise of the option if it is an NSO, (5) waiver of compensation or other indebtedness, and (6) other legal consideration approved by the compensation committee.</w:t>
      </w:r>
    </w:p>
    <w:p>
      <w:pPr>
        <w:spacing w:after="0" w:line="17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Tax Limitations on Incentive Stock Options</w:t>
      </w:r>
      <w:r>
        <w:rPr>
          <w:rFonts w:ascii="Times New Roman" w:cs="Times New Roman" w:eastAsia="Times New Roman" w:hAnsi="Times New Roman"/>
          <w:sz w:val="18"/>
          <w:szCs w:val="18"/>
          <w:color w:val="auto"/>
        </w:rPr>
        <w:t>. The aggregate fair market value, determined at the time of grant, of Biopharma Co.’s common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ISOs that are exercisable for the first time by an optionholder during any calendar year under all of our share plans and the share plans of any of our affiliates may not exceed $100,000. Options or portions thereof that exceed such limit will generally be treated as NSOs. No ISO may be granted to any person who, at the time of the grant, owns or is deemed to own shares possessing more than 10% of Biopharma Co.’s total combined voting power or that of any of its affiliates unless (1) the option exercise price is at least 110% of the fair market value of the shares subject to the option on the date of grant, and (2) the term of the ISO does not exceed five years from the date of grant.</w:t>
      </w:r>
    </w:p>
    <w:p>
      <w:pPr>
        <w:spacing w:after="0" w:line="18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Restricted stock awards will be granted pursuant to restricted stock award agreements adopted by the Biopharma 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A restricted stock award may be transferred only upon such terms and conditions as set by the Biopharma Co. compensation committee. Except as otherwise provided in the applicable award agreement, restricted stocks that have not vested will be forfeited upon the participant’s cessation of continuous service with Biopharma Co. for any reason.</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Restricted stock unit awards will be granted pursuant to restricted stock unit award agreements adopted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Biopharma Co. compensation committee. A restricted stock unit award may be settled by cash, delivery of shares, a combination of cash and shares as deemed appropriate by the Biopharma Co. compensation committee, or in any other form of consideration set forth in the restricted stock unit award agreement. Except as otherwise provided in the applicable award agreement, restricted stock units that have not vested will be forfeited upon the participant’s cessation of continuous service with Biopharma Co. for any reason.</w:t>
      </w:r>
    </w:p>
    <w:p>
      <w:pPr>
        <w:spacing w:after="0" w:line="183"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Stock appreciation rights will be granted pursuant to stock appreciation grant agreements adopted by the Biopharma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 compensation committee. The Biopharma Co. compensation</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80"/>
          </w:cols>
          <w:pgMar w:left="320" w:top="455" w:right="4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committee will determine the strike price for a stock appreciation right, which generally cannot be less than 100% of the fair market value of Biopharma Co.’s common shares on the date of grant. Upon the exercise of a stock appreciation right, Biopharma Co. will pay the participant an amount equal to the product of (1) the excess of the per share fair market value of Biopharma Co. common shares on the date of exercise over the strike price, multiplied by (2) the number of common shares with respect to which the stock appreciation right is exercised. A stock appreciation right granted under the 2026 Plan vests at the rate specified in the stock appreciation right agreement as determined by the Biopharma Co. compensation committee. The Biopharma Co. compensation committee will determine the term of stock appreciation rights granted under the 2026 Plan, up to a maximum of 10 years. In no event may a stock appreciation right be exercised beyond the expiration of its term.</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The 2026 Plan permits the grant of performance-based share and cash awards, the payment of which are contingent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attainment of certain performance goals established by Biopharma Co.’s compensation committee. 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In addition, we retain the discretion to reduce or eliminate the compensation or economic benefit due upon attainment of the goals. The performance goals may differ from participant to participant and from award to award. Except as otherwise provided in the applicable award agreement, performance awards that have not vested will be forfeited upon the participant’s cessation of continuous service with Biopharma Co. for any reason.</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Changes to Capital Structure</w:t>
      </w:r>
      <w:r>
        <w:rPr>
          <w:rFonts w:ascii="Times New Roman" w:cs="Times New Roman" w:eastAsia="Times New Roman" w:hAnsi="Times New Roman"/>
          <w:sz w:val="18"/>
          <w:szCs w:val="18"/>
          <w:color w:val="auto"/>
        </w:rPr>
        <w:t>. In the event that Biopharma Co.’s capital structure is changed by a stock dividend, extraordinary dividends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distributions (whether in cash, shares or other property, other than a regular cash dividend), recapitalization, stock split, reverse stock split, subdivision, combination, consolidation, reclassification, spin-off or similar change in the capital structure of Biopharma Co., without consideration, then appropriate adjustments will be made to (1) the class and maximum number of shares reserved for issuance under the 2026 Plan, (2) the class and maximum number of shares by which the share reserve may increase automatically each year, (3) the class and maximum number of shares that may be issued upon the exercise of ISOs, (4) the class and maximum number of shares subject to share awards that can be granted in a calendar year and (5) the class and number of shares and exercise price, strike price, or purchase price, if applicable, of all outstanding share awards.</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In the event of a consolidation, merger or similar transaction, a sale or transfer of all or substantially all of our assets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dissolution or liquidation, Biopharma Co.’s compensation committee , may, among other things, provide for continuation or assumption of outstanding awards, for new grants in substitution of outstanding awards, for the accelerated vesting or delivery of shares under awards, or for a cash-out of outstanding awards, in each case on such terms and with such restrictions as it deems appropriate.</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Biopharma Co.’s compensation committee is not obligated to treat all awards, even those that are of the same type, in the same manner.</w:t>
      </w:r>
    </w:p>
    <w:p>
      <w:pPr>
        <w:spacing w:after="0" w:line="225"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vesting of all awards granted to our non-employee directors under our 2026 Equity Incentive Plan will accelerate in full in the event of a corporate transaction.</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Under the 2026 Plan, a corporate transaction is generally the consummation of (1) any person becomes the beneficial owner, directly or indirectly, of 50% or more of the total voting power of Biopharma Co.’s outstanding voting securities, (2) a sale or other disposition of all or substantially all of Biopharma Co.’s assets, (3) a sale or other disposition of at least 50% of Biopharma Co.’s outstanding securities, (4) a merger, consolidation or similar transaction following which Biopharma Co.’s pre-transaction shareholders do not retain at least 50% of the voting power of the surviving entity, or (5) a change in the effective control of Biopharma Co. that occurs on the date that a majority of members of the Biopharma Co. board of directors is replaced during any twelve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120" w:hanging="4"/>
        <w:spacing w:after="0" w:line="282" w:lineRule="auto"/>
        <w:tabs>
          <w:tab w:leader="none" w:pos="46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 by members of the board of directors whose appointment or election is not endorsed by a majority of the members of the Biopharma Co.’s board of directors prior to the date of the appointment or election.</w:t>
      </w:r>
    </w:p>
    <w:p>
      <w:pPr>
        <w:spacing w:after="0" w:line="16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Director Compensation Limits</w:t>
      </w:r>
      <w:r>
        <w:rPr>
          <w:rFonts w:ascii="Times New Roman" w:cs="Times New Roman" w:eastAsia="Times New Roman" w:hAnsi="Times New Roman"/>
          <w:sz w:val="18"/>
          <w:szCs w:val="18"/>
          <w:color w:val="auto"/>
        </w:rPr>
        <w:t>. No non-employee director may receive awards under our 2026 Equity Incentive Plan in consideration for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service as a non-employee director with a grant date value that when combined with cash compensation received for such director’s service as a non-employee director, exceeds $        in a calendar year or $        in the calendar year of his or her initial service as a non-employee director with us. Awards granted, or cash compensation paid, to an individual while he or she was serving in the capacity as an employee or in consideration of services as a consultant will not count for purposes of this limitation.</w:t>
      </w:r>
    </w:p>
    <w:p>
      <w:pPr>
        <w:spacing w:after="0" w:line="183"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Exchange, Repricing and Buyout of Awards. </w:t>
      </w:r>
      <w:r>
        <w:rPr>
          <w:rFonts w:ascii="Times New Roman" w:cs="Times New Roman" w:eastAsia="Times New Roman" w:hAnsi="Times New Roman"/>
          <w:sz w:val="18"/>
          <w:szCs w:val="18"/>
          <w:color w:val="auto"/>
        </w:rPr>
        <w:t>The compensation committee of Biopharma Co. may, without prior stockholder approval, (1) reduce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exercise price of outstanding options or stock appreciation rights without the consent of any participant (provided that written notice of the repricing is provided to such participants) and (2) pay cash or issue new awards in exchange for the surrender and cancellation of any, or all, outstanding awards, subject to the consent of any affected participant to the extent required by the terms of the 2026 Equity Incentive Plan.</w:t>
      </w:r>
    </w:p>
    <w:p>
      <w:pPr>
        <w:spacing w:after="0" w:line="180" w:lineRule="exact"/>
        <w:rPr>
          <w:sz w:val="20"/>
          <w:szCs w:val="20"/>
          <w:color w:val="auto"/>
        </w:rPr>
      </w:pPr>
    </w:p>
    <w:p>
      <w:pPr>
        <w:ind w:left="120" w:right="20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Clawback; Transferability. </w:t>
      </w:r>
      <w:r>
        <w:rPr>
          <w:rFonts w:ascii="Times New Roman" w:cs="Times New Roman" w:eastAsia="Times New Roman" w:hAnsi="Times New Roman"/>
          <w:sz w:val="17"/>
          <w:szCs w:val="17"/>
          <w:color w:val="auto"/>
        </w:rPr>
        <w:t>All awards will be subject to clawback or recoupment pursuant to any compensation clawback or recoupment policy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adopted by our board of directors or required by law, to the extent set forth in such policy or applicable agreement. Except in limited circumstances, awards granted under our 2026 Plan may generally not be transferred in any manner other than by will or the laws of descent or distribution.</w:t>
      </w:r>
    </w:p>
    <w:p>
      <w:pPr>
        <w:spacing w:after="0" w:line="155"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Biopharma Co.’s board of directors will have the authority to amend, suspend, or terminate our 2026 Plan,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such action does not materially impair the existing rights of any participant without such participant’s written consent.</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Biopharma Co. 2026 Employee Stock Purchase Plan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Biopharma Co. will adopt the 2026 Employee Stock Purchase Plan (the “ESPP”). The purpose of the ESPP will be to secure the services of new employees, to retain the services of existing employees and to provide incentives for such individuals to exert maximum efforts toward Biopharma Co.’s success and that of its affiliates. The ESPP will be intended to qualify as an “employee stock purchase plan” within the meaning of Section 423 of the Code.</w:t>
      </w:r>
    </w:p>
    <w:p>
      <w:pPr>
        <w:spacing w:after="0" w:line="17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The ESPP will authorize the issuance of up to         shares of Biopharma Co.’s common shares on a fully diluted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purchase rights granted to our employees or to employees of any of our designated affiliates. The number of shares reserved for issuance and sale under our ESPP will increase automatically on January 1 of each of 2027 through 2036 by the number of shares equal to   % of the aggregate number of outstanding shares of all classes of our common stock as of the immediately preceding December 31, or a lesser number as may be determined by our board of directors.</w:t>
      </w:r>
    </w:p>
    <w:p>
      <w:pPr>
        <w:spacing w:after="0" w:line="183"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Biopharma Co. compensation committee will have full and exclusive discretionary authority to construe, interpret and apply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terms of the ESPP, to determine eligibility and decide upon any and all claims filed under the ESPP. The ESPP will be implemented through a series of offerings under which eligible employees are granted purchase rights to purchase common shares on specified dates during such offerings. Under the ESPP, Biopharma Co. may specify offerings with durations of not more than 27 months, and may specify shorter purchase periods within each offering. Each offering will have one or more purchase dates on which Biopharma Co. common shares will be purchased for employees participating in the offering. An offering under the ESPP may be terminated under certain circumstances.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7" w:lineRule="exact"/>
        <w:rPr>
          <w:sz w:val="20"/>
          <w:szCs w:val="20"/>
          <w:color w:val="auto"/>
        </w:rPr>
      </w:pPr>
    </w:p>
    <w:p>
      <w:pPr>
        <w:ind w:left="120" w:right="20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Payroll Deductions</w:t>
      </w:r>
      <w:r>
        <w:rPr>
          <w:rFonts w:ascii="Times New Roman" w:cs="Times New Roman" w:eastAsia="Times New Roman" w:hAnsi="Times New Roman"/>
          <w:sz w:val="17"/>
          <w:szCs w:val="17"/>
          <w:color w:val="auto"/>
        </w:rPr>
        <w:t>. Generally, all regular employees, including executive officers, employed by Biopharma Co. or by any of its designated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affiliates, may participate in the ESPP and may contribute, normally through payroll deductions, between 1% and 15% of their earnings (as defined in the ESPP) for the purchase of Biopharma Co.’s common shares under the ESPP. Unless otherwise determined by Biopharma Co.’s board of directors, common shares will be purchased for the accounts of employees participating in the ESPP at a price per share equal to the lower of (a) 85% of the fair market value of a common share on the first date of an offering or (b) 85% of the fair market value of a common share on the date of purchase.</w:t>
      </w:r>
    </w:p>
    <w:p>
      <w:pPr>
        <w:spacing w:after="0" w:line="168"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Employees may have to satisfy one or more of the following service requirements before participating in the ESPP, as determined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Biopharma Co.’s board of directors, including: (1) being customarily employed for more than 20 hours per week; (2) being customarily employed for more than five months per calendar year; or (3) continuous employment with Biopharma Co. or one of its affiliates for a period of time as specified by the compensation committee. No employee may purchase shares under the ESPP at a rate in excess of $25,000 worth of Biopharma Co.’s common shares based on the fair market value per common share at the beginning of an offering for each year such a purchase right is outstanding. Finally, no employee will be eligible for the grant of any purchase rights under the ESPP if immediately after such rights are granted, such employee has voting power over 5% or more of Biopharma Co.’s outstanding capital stock measured by vote or value pursuant to Section 424(d) of the Code.</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Changes to Capital Structure</w:t>
      </w:r>
      <w:r>
        <w:rPr>
          <w:rFonts w:ascii="Times New Roman" w:cs="Times New Roman" w:eastAsia="Times New Roman" w:hAnsi="Times New Roman"/>
          <w:sz w:val="18"/>
          <w:szCs w:val="18"/>
          <w:color w:val="auto"/>
        </w:rPr>
        <w:t>. If the number of outstanding Biopharma Co. shares is changed by a stock dividend, recapitalization, stock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reverse stock split, subdivision, combination, reclassification or similar change in the capital structure of Biopharma Co., without consideration, then the Biopharma Co. compensation committee shall adjust the number and class of common stock that may be delivered under the ESPP, the purchase price and the number of shares of common stock covered by each option under the ESPP which has not yet been exercised, and the Biopharma Co. compensation committee will make appropriate adjustments to (1) the number of shares reserved under the ESPP, (2) the maximum number of shares by which the share reserve may increase automatically each year, (3) the number of shares and purchase price of all outstanding purchase rights, and (4) the number of shares that are subject to purchase limits under ongoing offerings.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In the event of any of the following corporate transactions: (1) any person becomes the beneficial owner,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of 50% or more of the total voting power of the Biopharma Co.’s outstanding voting securities; (2) a sale of all or substantially all of Biopharma Co.’s assets; or (3) the consummation of a merger or consolidation of the Biopharma Co. with any other corporation, other than a merger or consolidation which would result in the voting securities of Biopharma Co. outstanding immediately prior thereto continuing to represent at least 50% of the total voting power represented by the voting securities of the Biopharma Co. or such surviving entity or its parent outstanding immediately after such merger or consolidation then, any then-outstanding rights to purchase Biopharma Co. shares under the ESPP may be assumed, continued or substituted for by any surviving or acquiring entity. If the surviving or acquiring entity elects not to assume, continue or substitute for such purchase rights, then the offering period with respect to which such purchase right relates will be shortened by setting a new purchase date that will occur on or prior to the consummation of the corporate transaction, and the ESPP will terminate on the consummation of the corporate transaction.</w:t>
      </w:r>
    </w:p>
    <w:p>
      <w:pPr>
        <w:spacing w:after="0" w:line="188"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ESPP Amendments, Termination</w:t>
      </w:r>
      <w:r>
        <w:rPr>
          <w:rFonts w:ascii="Times New Roman" w:cs="Times New Roman" w:eastAsia="Times New Roman" w:hAnsi="Times New Roman"/>
          <w:sz w:val="18"/>
          <w:szCs w:val="18"/>
          <w:color w:val="auto"/>
        </w:rPr>
        <w:t>. Biopharma Co.’s board of directors has the authority to amend or terminate the ESPP, provided that except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circumstances such amendment or termination may not materially impair any outstanding purchase rights without the holder’s consent.</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AnaptysBio, Inc. sponsors a retirement savings plan established January 1, 2007, that is intended to qualify for favorable tax treatment under Section 401(a) of the Code, and contains a cash or deferred feature that is intended to meet the requirements of Section 401(k) of the Code. Participants may make pre-tax and certain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No minimum benefit is provided under the plan. An employee’s interest in his or her salary deferral contributions is 100% vested when contributed. AnaptysBio, Inc. has the ability to make discretionary contributions under the plan. It is envisioned that Biopharma Co. will establish a 401(k) that is substantially similar to AnaptysBio, Inc.’s 401(k) plan.</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Other Benefits</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employee benefit plans on the same basis as our other employees, including our health and welfare plans.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121" w:lineRule="exact"/>
        <w:rPr>
          <w:sz w:val="20"/>
          <w:szCs w:val="20"/>
          <w:color w:val="auto"/>
        </w:rPr>
      </w:pPr>
    </w:p>
    <w:p>
      <w:pPr>
        <w:jc w:val="both"/>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directors and executive officers may adopt written plans, known as Rule 10b5-1 plans, in which they will contract with a broker to buy or sell our common shares on a periodic basis. Under a Rule 10b5-1 plan, a broker executes trades pursuant to parameters established by the director or officer when entering into the plan, without further direction from them. The director or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Non-Employee Director Compensation Table</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compensation earned by AnaptysBio, Inc.’s non-employee directors for their service on the board of directors of AnaptysBio, Inc. during the year ended December 31, 2025:</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0"/>
                <w:szCs w:val="10"/>
                <w:b w:val="1"/>
                <w:bCs w:val="1"/>
                <w:color w:val="auto"/>
              </w:rPr>
              <w:t>(1)</w:t>
            </w:r>
          </w:p>
        </w:tc>
        <w:tc>
          <w:tcPr>
            <w:tcW w:w="1540" w:type="dxa"/>
            <w:vAlign w:val="bottom"/>
          </w:tcPr>
          <w:p>
            <w:pPr>
              <w:spacing w:after="0"/>
              <w:rPr>
                <w:sz w:val="13"/>
                <w:szCs w:val="13"/>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60"/>
        </w:trPr>
        <w:tc>
          <w:tcPr>
            <w:tcW w:w="3240" w:type="dxa"/>
            <w:vAlign w:val="bottom"/>
            <w:gridSpan w:val="2"/>
            <w:vMerge w:val="continue"/>
          </w:tcPr>
          <w:p>
            <w:pPr>
              <w:spacing w:after="0"/>
              <w:rPr>
                <w:sz w:val="13"/>
                <w:szCs w:val="13"/>
                <w:color w:val="auto"/>
              </w:rPr>
            </w:pPr>
          </w:p>
        </w:tc>
        <w:tc>
          <w:tcPr>
            <w:tcW w:w="1540" w:type="dxa"/>
            <w:vAlign w:val="bottom"/>
          </w:tcPr>
          <w:p>
            <w:pPr>
              <w:spacing w:after="0"/>
              <w:rPr>
                <w:sz w:val="13"/>
                <w:szCs w:val="13"/>
                <w:color w:val="auto"/>
              </w:rPr>
            </w:pPr>
          </w:p>
        </w:tc>
        <w:tc>
          <w:tcPr>
            <w:tcW w:w="16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Paid in Cash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720" w:type="dxa"/>
            <w:vAlign w:val="bottom"/>
          </w:tcPr>
          <w:p>
            <w:pPr>
              <w:jc w:val="right"/>
              <w:ind w:right="237"/>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(2)</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97"/>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(2)</w:t>
            </w:r>
          </w:p>
        </w:tc>
        <w:tc>
          <w:tcPr>
            <w:tcW w:w="6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shd w:val="clear" w:color="auto" w:fill="000000"/>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Dennis Fenton, Ph.D.</w:t>
            </w: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65,000</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180,808</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89,425</w:t>
            </w: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$335,233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Rita Jain, M.D.</w:t>
            </w:r>
          </w:p>
        </w:tc>
        <w:tc>
          <w:tcPr>
            <w:tcW w:w="18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46,750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180,808</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89,425</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$316,983</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Magda Marquet, Ph.D.</w:t>
            </w:r>
          </w:p>
        </w:tc>
        <w:tc>
          <w:tcPr>
            <w:tcW w:w="180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180,808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89,425</w:t>
            </w:r>
          </w:p>
        </w:tc>
        <w:tc>
          <w:tcPr>
            <w:tcW w:w="7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$320,233</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Orwin</w:t>
            </w:r>
          </w:p>
        </w:tc>
        <w:tc>
          <w:tcPr>
            <w:tcW w:w="18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180,808</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89,425</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$370,233</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P. Schmid</w:t>
            </w:r>
          </w:p>
        </w:tc>
        <w:tc>
          <w:tcPr>
            <w:tcW w:w="180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66,750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180,808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89,425</w:t>
            </w:r>
          </w:p>
        </w:tc>
        <w:tc>
          <w:tcPr>
            <w:tcW w:w="7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$336,983</w:t>
            </w:r>
          </w:p>
        </w:tc>
        <w:tc>
          <w:tcPr>
            <w:tcW w:w="0" w:type="dxa"/>
            <w:vAlign w:val="bottom"/>
          </w:tcPr>
          <w:p>
            <w:pPr>
              <w:spacing w:after="0"/>
              <w:rPr>
                <w:sz w:val="1"/>
                <w:szCs w:val="1"/>
                <w:color w:val="auto"/>
              </w:rPr>
            </w:pP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Anthony Ware, M.D.</w:t>
            </w:r>
          </w:p>
        </w:tc>
        <w:tc>
          <w:tcPr>
            <w:tcW w:w="18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70,000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180,808</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89,425</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$340,233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540" w:right="60" w:hanging="424"/>
        <w:spacing w:after="0" w:line="258"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Dr. Fenton held outstanding options to purchase 92,327 shares of common stock and 6,030 RSUs; Dr. Jain held outstanding options to purchase 51,635 shares of common stock and 7,330 RSUs; Dr. Marquet held outstanding options to purchase 75,604 shares of common stock and 6,030 RSUs; Mr. Orwin held outstanding options to purchase 46,391 shares of common stock and 7,330 RSUs; Mr. Schmid held outstanding options to purchase 101,820 shares of common stock and 6,030 RSUs; and Dr. Ware held outstanding options to purchase 126,085 shares of common stock and 6,030 RSUs.</w:t>
      </w:r>
    </w:p>
    <w:p>
      <w:pPr>
        <w:spacing w:after="0" w:line="88" w:lineRule="exact"/>
        <w:rPr>
          <w:rFonts w:ascii="Times New Roman" w:cs="Times New Roman" w:eastAsia="Times New Roman" w:hAnsi="Times New Roman"/>
          <w:sz w:val="18"/>
          <w:szCs w:val="18"/>
          <w:color w:val="auto"/>
        </w:rPr>
      </w:pPr>
    </w:p>
    <w:p>
      <w:pPr>
        <w:ind w:left="540" w:hanging="424"/>
        <w:spacing w:after="0" w:line="255"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option awards and the stock awards columns represent the grant date fair value of such awards granted to the directors during the year ended December 31, 2025 as computed in accordance with Financial Accounting Standards Board Accounting Standards Codification Topic 718 (“ASC Topic 718”). The assumptions used in calculating the grant date fair value of the stock options reported in the option awards column are set forth in Note 8 to AnaptysBio, Inc.’s audited consolidated financial statements included in AnaptysBio, Inc.’s Annual Report on Form 10-K for the year ended December 31, 2024. Note that the amounts reported in this column reflect the accounting cost for these stock options and RSUs, and do not correspond to the actual economic value that may be received by AnaptysBio, Inc.’s directors from the options.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40"/>
          </w:cols>
          <w:pgMar w:left="320" w:top="455" w:right="4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21"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Prior to the Spin-Off, we will assume the non-employee director compensation policy that was previously adopted by AnaptysBio, Inc., which is designed to enable us to attract and retain, on a long-term basis, highly qualified non-employee directors. Under the AnaptysBio, Inc.’s non-employee director compensation policy, each non-employee director will be eligible to receive the following amounts for their service on our Board of Directors:</w:t>
      </w:r>
    </w:p>
    <w:p>
      <w:pPr>
        <w:spacing w:after="0" w:line="61" w:lineRule="exact"/>
        <w:rPr>
          <w:sz w:val="20"/>
          <w:szCs w:val="20"/>
          <w:color w:val="auto"/>
        </w:rPr>
      </w:pPr>
    </w:p>
    <w:p>
      <w:pPr>
        <w:ind w:left="1080" w:hanging="424"/>
        <w:spacing w:after="0" w:line="284"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Stock Option Grant</w:t>
      </w:r>
      <w:r>
        <w:rPr>
          <w:rFonts w:ascii="Times New Roman" w:cs="Times New Roman" w:eastAsia="Times New Roman" w:hAnsi="Times New Roman"/>
          <w:sz w:val="18"/>
          <w:szCs w:val="18"/>
          <w:color w:val="auto"/>
        </w:rPr>
        <w:t>. For new non-employee directors receive a stock option to purchase 16,510 shares of common stock and 6,030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RSUs as well as a prorated annual equity grant</w:t>
      </w:r>
    </w:p>
    <w:p>
      <w:pPr>
        <w:spacing w:after="0" w:line="63" w:lineRule="exact"/>
        <w:rPr>
          <w:rFonts w:ascii="Times New Roman" w:cs="Times New Roman" w:eastAsia="Times New Roman" w:hAnsi="Times New Roman"/>
          <w:sz w:val="18"/>
          <w:szCs w:val="18"/>
          <w:color w:val="auto"/>
        </w:rPr>
      </w:pPr>
    </w:p>
    <w:p>
      <w:pPr>
        <w:ind w:left="1080" w:right="80" w:hanging="424"/>
        <w:spacing w:after="0" w:line="284"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Stock Option Grants</w:t>
      </w:r>
      <w:r>
        <w:rPr>
          <w:rFonts w:ascii="Times New Roman" w:cs="Times New Roman" w:eastAsia="Times New Roman" w:hAnsi="Times New Roman"/>
          <w:sz w:val="18"/>
          <w:szCs w:val="18"/>
          <w:color w:val="auto"/>
        </w:rPr>
        <w:t>. Each of our non-employee directors generally receives an annual stock option grant in January to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16,510 shares of common stock and 6,030 RSUs.</w:t>
      </w:r>
    </w:p>
    <w:p>
      <w:pPr>
        <w:spacing w:after="0" w:line="63" w:lineRule="exact"/>
        <w:rPr>
          <w:rFonts w:ascii="Times New Roman" w:cs="Times New Roman" w:eastAsia="Times New Roman" w:hAnsi="Times New Roman"/>
          <w:sz w:val="18"/>
          <w:szCs w:val="18"/>
          <w:color w:val="auto"/>
        </w:rPr>
      </w:pPr>
    </w:p>
    <w:p>
      <w:pPr>
        <w:ind w:left="1080" w:right="160" w:hanging="424"/>
        <w:spacing w:after="0" w:line="284"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Fees</w:t>
      </w:r>
      <w:r>
        <w:rPr>
          <w:rFonts w:ascii="Times New Roman" w:cs="Times New Roman" w:eastAsia="Times New Roman" w:hAnsi="Times New Roman"/>
          <w:sz w:val="18"/>
          <w:szCs w:val="18"/>
          <w:color w:val="auto"/>
        </w:rPr>
        <w:t>. Each of our non-employee directors is provided with an annual cash compensation. The table below summarizes the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of our non-employee directors for 2025 pursuant to our director compensation policy:</w:t>
      </w:r>
    </w:p>
    <w:p>
      <w:pPr>
        <w:spacing w:after="0" w:line="181"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6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r>
      <w:tr>
        <w:trPr>
          <w:trHeight w:val="203"/>
        </w:trPr>
        <w:tc>
          <w:tcPr>
            <w:tcW w:w="68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Retainer</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Member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6,750</w:t>
            </w: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Nominating and Governance Committee Chair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Governance Committee Member.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R&amp;D Committee Chair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Committee Member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Non-Executive Chair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35,000</w:t>
            </w: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Committee Chair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w:t>
            </w:r>
          </w:p>
        </w:tc>
      </w:tr>
      <w:tr>
        <w:trPr>
          <w:trHeight w:val="365"/>
        </w:trPr>
        <w:tc>
          <w:tcPr>
            <w:tcW w:w="6800" w:type="dxa"/>
            <w:vAlign w:val="bottom"/>
            <w:gridSpan w:val="2"/>
          </w:tcPr>
          <w:p>
            <w:pPr>
              <w:ind w:left="360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80"/>
          </w:cols>
          <w:pgMar w:left="320" w:top="455" w:right="5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of the date hereof, all of our outstanding shares of common stock are owned by AnaptysBio, Inc. Immediately after the Spin-Off, AnaptysBio, Inc. will own no shares of our common stock.</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expected beneficial ownership of shares of our common stock         , immediately after the Spin-Off, for:</w:t>
      </w:r>
    </w:p>
    <w:p>
      <w:pPr>
        <w:spacing w:after="0" w:line="67" w:lineRule="exact"/>
        <w:rPr>
          <w:sz w:val="20"/>
          <w:szCs w:val="20"/>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beneficially owned more than 5% of shares of our common stock.</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To the extent our directors and officers own shares of AnaptysBio, Inc. common stock at the time of the Spin-Off, they will participate in the Spin-Off on the same terms as other holders of shares of AnaptysBio, Inc. common stock.</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Except as otherwise noted in the footnotes below, each person or entity identified has sole voting and investment power with respect to such securities. Following the Spin-Off, we expect to have outstanding an aggregate of         shares of common stock based upon (i)         shares of AnaptysBio, Inc. common stock outstanding on         , (ii) the distribution by AnaptysBio, Inc. of all of shares of our common stock on the Distribution Date, and (iii) applying the distribution ratio of one of shares of our common stock for every         shares of AnaptysBio, Inc. common stock held as of the Record Date. This number of shares is used to calculate all applicable percentages in the table below.</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40"/>
          </w:cols>
          <w:pgMar w:left="320" w:top="455" w:right="5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Biopharma Company, Inc., 10770 Wateridge Circle, Suite 210, San Diego, California 92121.</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10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of Shares of</w:t>
            </w:r>
          </w:p>
        </w:tc>
      </w:tr>
      <w:tr>
        <w:trPr>
          <w:trHeight w:val="148"/>
        </w:trPr>
        <w:tc>
          <w:tcPr>
            <w:tcW w:w="5260" w:type="dxa"/>
            <w:vAlign w:val="bottom"/>
          </w:tcPr>
          <w:p>
            <w:pPr>
              <w:spacing w:after="0"/>
              <w:rPr>
                <w:sz w:val="12"/>
                <w:szCs w:val="12"/>
                <w:color w:val="auto"/>
              </w:rPr>
            </w:pPr>
          </w:p>
        </w:tc>
        <w:tc>
          <w:tcPr>
            <w:tcW w:w="2100" w:type="dxa"/>
            <w:vAlign w:val="bottom"/>
            <w:gridSpan w:val="2"/>
          </w:tcPr>
          <w:p>
            <w:pPr>
              <w:jc w:val="center"/>
              <w:ind w:right="116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Common Stock</w:t>
            </w:r>
          </w:p>
        </w:tc>
      </w:tr>
      <w:tr>
        <w:trPr>
          <w:trHeight w:val="173"/>
        </w:trPr>
        <w:tc>
          <w:tcPr>
            <w:tcW w:w="5260" w:type="dxa"/>
            <w:vAlign w:val="bottom"/>
          </w:tcPr>
          <w:p>
            <w:pPr>
              <w:spacing w:after="0"/>
              <w:rPr>
                <w:sz w:val="15"/>
                <w:szCs w:val="15"/>
                <w:color w:val="auto"/>
              </w:rPr>
            </w:pPr>
          </w:p>
        </w:tc>
        <w:tc>
          <w:tcPr>
            <w:tcW w:w="210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w:t>
            </w:r>
            <w:r>
              <w:rPr>
                <w:rFonts w:ascii="Times New Roman" w:cs="Times New Roman" w:eastAsia="Times New Roman" w:hAnsi="Times New Roman"/>
                <w:sz w:val="10"/>
                <w:szCs w:val="10"/>
                <w:b w:val="1"/>
                <w:bCs w:val="1"/>
                <w:color w:val="auto"/>
              </w:rPr>
              <w:t>(1)</w:t>
            </w: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7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Daniel Faga</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Paul Lizzul, M.D., Ph.D.</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Dennis Mulroy</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Dennis Fenton, Ph.D.</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Magda Marquet, Ph.D.</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John P. Schmid</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J. Anthony Ware, M.D.</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Rita Jain, M.D.</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John Orwin</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360" w:type="dxa"/>
            <w:vAlign w:val="bottom"/>
            <w:gridSpan w:val="3"/>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Executive Officers and Directors as a Group</w:t>
            </w: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73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people)</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360" w:type="dxa"/>
            <w:vAlign w:val="bottom"/>
            <w:gridSpan w:val="3"/>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EcoR1 Capital LLC</w:t>
            </w:r>
            <w:r>
              <w:rPr>
                <w:rFonts w:ascii="Times New Roman" w:cs="Times New Roman" w:eastAsia="Times New Roman" w:hAnsi="Times New Roman"/>
                <w:sz w:val="25"/>
                <w:szCs w:val="25"/>
                <w:color w:val="auto"/>
                <w:vertAlign w:val="superscript"/>
              </w:rPr>
              <w:t>(1)</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gridSpan w:val="3"/>
          </w:tcPr>
          <w:p>
            <w:pPr>
              <w:ind w:left="360"/>
              <w:spacing w:after="0" w:line="216" w:lineRule="exact"/>
              <w:rPr>
                <w:sz w:val="20"/>
                <w:szCs w:val="20"/>
                <w:color w:val="auto"/>
              </w:rPr>
            </w:pPr>
            <w:r>
              <w:rPr>
                <w:rFonts w:ascii="Times New Roman" w:cs="Times New Roman" w:eastAsia="Times New Roman" w:hAnsi="Times New Roman"/>
                <w:sz w:val="17"/>
                <w:szCs w:val="17"/>
                <w:color w:val="auto"/>
              </w:rPr>
              <w:t>Point72 Asset Management, L.P.</w:t>
            </w:r>
            <w:r>
              <w:rPr>
                <w:rFonts w:ascii="Times New Roman" w:cs="Times New Roman" w:eastAsia="Times New Roman" w:hAnsi="Times New Roman"/>
                <w:sz w:val="25"/>
                <w:szCs w:val="25"/>
                <w:color w:val="auto"/>
                <w:vertAlign w:val="superscript"/>
              </w:rPr>
              <w:t>(2)</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360" w:type="dxa"/>
            <w:vAlign w:val="bottom"/>
            <w:gridSpan w:val="3"/>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BlackRock, Inc.</w:t>
            </w:r>
            <w:r>
              <w:rPr>
                <w:rFonts w:ascii="Times New Roman" w:cs="Times New Roman" w:eastAsia="Times New Roman" w:hAnsi="Times New Roman"/>
                <w:sz w:val="25"/>
                <w:szCs w:val="25"/>
                <w:color w:val="auto"/>
                <w:vertAlign w:val="superscript"/>
              </w:rPr>
              <w:t>(3)</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gridSpan w:val="3"/>
          </w:tcPr>
          <w:p>
            <w:pPr>
              <w:ind w:left="360"/>
              <w:spacing w:after="0" w:line="216" w:lineRule="exact"/>
              <w:rPr>
                <w:sz w:val="20"/>
                <w:szCs w:val="20"/>
                <w:color w:val="auto"/>
              </w:rPr>
            </w:pPr>
            <w:r>
              <w:rPr>
                <w:rFonts w:ascii="Times New Roman" w:cs="Times New Roman" w:eastAsia="Times New Roman" w:hAnsi="Times New Roman"/>
                <w:sz w:val="17"/>
                <w:szCs w:val="17"/>
                <w:color w:val="auto"/>
              </w:rPr>
              <w:t>Morgan Stanley</w:t>
            </w:r>
            <w:r>
              <w:rPr>
                <w:rFonts w:ascii="Times New Roman" w:cs="Times New Roman" w:eastAsia="Times New Roman" w:hAnsi="Times New Roman"/>
                <w:sz w:val="25"/>
                <w:szCs w:val="25"/>
                <w:color w:val="auto"/>
                <w:vertAlign w:val="superscript"/>
              </w:rPr>
              <w:t>(4)</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gridSpan w:val="3"/>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The Vanguard Group</w:t>
            </w:r>
            <w:r>
              <w:rPr>
                <w:rFonts w:ascii="Times New Roman" w:cs="Times New Roman" w:eastAsia="Times New Roman" w:hAnsi="Times New Roman"/>
                <w:sz w:val="25"/>
                <w:szCs w:val="25"/>
                <w:color w:val="auto"/>
                <w:vertAlign w:val="superscript"/>
              </w:rPr>
              <w:t>(5)</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w:t>
      </w:r>
    </w:p>
    <w:p>
      <w:pPr>
        <w:spacing w:after="0" w:line="131" w:lineRule="exact"/>
        <w:rPr>
          <w:sz w:val="20"/>
          <w:szCs w:val="20"/>
          <w:color w:val="auto"/>
        </w:rPr>
      </w:pPr>
    </w:p>
    <w:p>
      <w:pPr>
        <w:jc w:val="both"/>
        <w:ind w:left="540" w:hanging="424"/>
        <w:spacing w:after="0" w:line="257"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7,880,094 shares of common stock of AnaptysBio, Inc. held directly by EcoR1 Capital Fund Qualified, L.P. Each of EcoR1 Capital Fund Qualified, L.P., EcoR1 Capital, LLC and Mr. Nodelman have shared voting and dispositive power over such shares. The address of each of EcoR1 Capital Fund Qualified, L.P., EcoR1 Capital, LLC and Mr. Nodelman is 357 Tehama Street #3, San Francisco, California 94103.</w:t>
      </w:r>
    </w:p>
    <w:p>
      <w:pPr>
        <w:spacing w:after="0" w:line="1" w:lineRule="exact"/>
        <w:rPr>
          <w:rFonts w:ascii="Times New Roman" w:cs="Times New Roman" w:eastAsia="Times New Roman" w:hAnsi="Times New Roman"/>
          <w:sz w:val="18"/>
          <w:szCs w:val="18"/>
          <w:color w:val="auto"/>
        </w:rPr>
      </w:pPr>
    </w:p>
    <w:p>
      <w:pPr>
        <w:ind w:left="540" w:right="320" w:hanging="424"/>
        <w:spacing w:after="0" w:line="250"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by Point72 Asset Management, L.P. on May 15, 2025. Based on 2,368,370 shares of common stock of AnaptysBio, Inc. held by Point72 Associates, LLC, Point72 Capital Advisors, Inc. and Steven A. Cohen. The address of the principal business office of Point72 Asset Management, Point72 Capital Advisors Inc., and Mr. Cohen is 72 Cummings Point Road, Stamford, CT 06902.</w:t>
      </w:r>
    </w:p>
    <w:p>
      <w:pPr>
        <w:spacing w:after="0" w:line="1" w:lineRule="exact"/>
        <w:rPr>
          <w:rFonts w:ascii="Times New Roman" w:cs="Times New Roman" w:eastAsia="Times New Roman" w:hAnsi="Times New Roman"/>
          <w:sz w:val="18"/>
          <w:szCs w:val="18"/>
          <w:color w:val="auto"/>
        </w:rPr>
      </w:pPr>
    </w:p>
    <w:p>
      <w:pPr>
        <w:ind w:left="540" w:right="900" w:hanging="424"/>
        <w:spacing w:after="0" w:line="250"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by BlackRock, Inc. (“BlackRock”) on April 17, 2025. Based on 1,900,844 shares of common stock of AnaptysBio, Inc. held by certain business units of BlackRock. BlackRock’s address is 50 Hudson Yards, New York, NY 10001.</w:t>
      </w:r>
    </w:p>
    <w:p>
      <w:pPr>
        <w:ind w:left="540" w:right="140" w:hanging="424"/>
        <w:spacing w:after="0" w:line="250"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by Morgan Stanley on August 5, 2025. Based on 1,845,002 shares of common stock of AnaptysBio, Inc. held by certain business units of Morgan Stanley. Morgan Stanley’s address is 1585 Broadway, New York, NY 10036.</w:t>
      </w:r>
    </w:p>
    <w:p>
      <w:pPr>
        <w:ind w:left="540" w:right="740" w:hanging="424"/>
        <w:spacing w:after="0" w:line="260"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by The Vanguard Group (“Vanguard”) on July 29, 2025. Based on 1,537,550 shares of common stock of AnaptysBio, Inc. held by certain business units of Vanguard. Vanguard’s address is 100 Vanguard Blvd., Malvern, PA 19355.</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Historical Relationship with AnaptysBio, Inc.</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September 29, 2025, AnaptysBio, Inc. announced its intention to explore separating its business into two independent, publicly traded companies. Biopharma Company, Inc. was formed to ultimately hold, directly or indirectly, and conduct certain operational activities in anticipation of the planned separation of the Biopharma Co. Business of AnaptysBio, Inc. Prior to the completion of the Spin-Off, we are a wholly owned subsidiary of AnaptysBio, Inc. and all of our outstanding shares of common stock are owned by AnaptysBio, Inc. Upon completion of the Spin-Off, AnaptysBio, Inc. will own no shares of our common stock.</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Since our inception, AnaptysBio, Inc. has provided certain corporate services to us, and costs associated with these services have been allocated to us in our combined financial statements included elsewhere in this information statement. The allocations include costs of support functions that are partially provided on a centralized basis by AnaptysBio, Inc. and its affiliates, which include finance, human resources, benefits administration, procurement support, information technology, legal, corporate governance and other professional services. These costs have been allocated to us based on a specific identification basis or, when specific identification is not practicable, a proportional cost allocation method, primarily based on headcount or other allocation methodologies that are considered to be a reasonable reflection of the utilization of services provided or the benefit received by us during the periods presented, depending on the nature of the services received. Following the completion of the Spin-Off, we expect to provide AnaptysBio, Inc. and its affiliates certain services related to these functions on a transitional basis to AnaptysBio, Inc. pursuant to the Transition Services Agreement. Upon completion of the Spin-Off, we will assume responsibility for all of our standalone public company costs, including the costs of corporate services provided by AnaptysBio, Inc. and its affiliates to us prior to the separation.</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Agreements to be Entered Into in Connection with the Spin-Off</w:t>
      </w:r>
    </w:p>
    <w:p>
      <w:pPr>
        <w:spacing w:after="0" w:line="121"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Following the Spin-Off, we and AnaptysBio, Inc. will operate separately, each as an independent publicly traded company. We and AnaptysBio, Inc. will enter into a Separation and Distribution Agreement that will effectuate the separation and distribution. We and AnaptysBio, Inc. will also enter into a Transition Services Agreement. These agreements will provide a framework for our relationship with AnaptysBio, Inc. after the Spin-Off and provide for the allocation between Biopharma Co. and AnaptysBio, Inc. of assets, liabilities and obligations attributable to periods prior to, at and after our Spin-Off from AnaptysBio, Inc. The material terms of these agreements will be described in subsequent amendments to this information statement.</w:t>
      </w:r>
    </w:p>
    <w:p>
      <w:pPr>
        <w:spacing w:after="0" w:line="168"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material agreements between us and AnaptysBio, Inc. are described briefly below and the expected form of such agreements will be filed as exhibits to the registration statement on Form 10 of which this information statement is a part. These descriptions are subject to, and qualified in their entirety, by reference to the full text of the applicable agreements.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Separation and Distribution Agreement</w:t>
      </w:r>
    </w:p>
    <w:p>
      <w:pPr>
        <w:spacing w:after="0" w:line="119" w:lineRule="exact"/>
        <w:rPr>
          <w:sz w:val="20"/>
          <w:szCs w:val="20"/>
          <w:color w:val="auto"/>
        </w:rPr>
      </w:pPr>
    </w:p>
    <w:p>
      <w:pPr>
        <w:jc w:val="both"/>
        <w:ind w:left="120" w:right="140" w:firstLine="440"/>
        <w:spacing w:after="0" w:line="284" w:lineRule="auto"/>
        <w:rPr>
          <w:sz w:val="20"/>
          <w:szCs w:val="20"/>
          <w:color w:val="auto"/>
        </w:rPr>
      </w:pPr>
      <w:r>
        <w:rPr>
          <w:rFonts w:ascii="Times New Roman" w:cs="Times New Roman" w:eastAsia="Times New Roman" w:hAnsi="Times New Roman"/>
          <w:sz w:val="18"/>
          <w:szCs w:val="18"/>
          <w:color w:val="auto"/>
        </w:rPr>
        <w:t>See the section of this information statement entitled “</w:t>
      </w:r>
      <w:r>
        <w:rPr>
          <w:rFonts w:ascii="Times New Roman" w:cs="Times New Roman" w:eastAsia="Times New Roman" w:hAnsi="Times New Roman"/>
          <w:sz w:val="18"/>
          <w:szCs w:val="18"/>
          <w:i w:val="1"/>
          <w:iCs w:val="1"/>
          <w:color w:val="auto"/>
        </w:rPr>
        <w:t>The Spin-Off—The Separation and Distribution Agreement</w:t>
      </w:r>
      <w:r>
        <w:rPr>
          <w:rFonts w:ascii="Times New Roman" w:cs="Times New Roman" w:eastAsia="Times New Roman" w:hAnsi="Times New Roman"/>
          <w:sz w:val="18"/>
          <w:szCs w:val="18"/>
          <w:color w:val="auto"/>
        </w:rPr>
        <w:t>” above for a description of the Separation and Distribution Agreement.</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Transition Services Agreement</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intend to enter into a Transition Services Agreement pursuant to which we will provide AnaptysBio, Inc., with certain specified services for a limited time to ensure an orderly transition following the Spin-Off. The services we will provide will, among others, consist of digital technology, human resources, supply chain, finance, real estate services and support for AnaptysBio, Inc. to continue to satisfy the contractual requirements of the Vanda Collaboration. The services are generally intended to be provided for a period no longer than two years following the Spin-Off. Biopharma Co. expects to provide some of the services related to these general and</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00"/>
          </w:cols>
          <w:pgMar w:left="320" w:top="455" w:right="4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administrative functions to AnaptysBio, Inc. on a transitional basis following the Spin-Off. Either party may terminate the agreement with respect to any service if the other party has failed to perform any of its material obligations and such failure is not cured within fifteen (15) days. Biopharma Co. may terminate the agreement with respect to any service if the other party has failed to perform any of its material obligations and such failure is not cured within thirty (30) days. AnaptysBio, Inc., in its capacity as a recipient of the services, may terminate the agreement with respect to any service for convenience upon thirty (30) days’ prior written notice. The parties may terminate the agreement with respect to any service upon mutual written agreement. The parties may otherwise negotiate mutually agreed reductions in the scope of services provided. The Transition Services Agreement will provide for customary indemnification and limits on liability.</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will enter into agreements with our officers and directors to provide contractual indemnification in addition to the indemnification provided in our restated certificate of incorporation and restated bylaws. We believe that these provisions and agreements are necessary to attract qualified officers and directors. We expect to purchase a policy of directors’ and officers’ liability insurance.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Upon consummation of the Spin-Off, we intend to adopt a written related person transactions policy providing that our executive officers, directors, nominees for election as a director, beneficial owners of more than 5% of our shares of common stock, and any members of the immediate family of and any entity affiliated with any of the foregoing persons, are not permitted to enter into a transaction with us in which the amount involved exceeds (i) $120,000 or (ii) 1% of the average of our total assets at year-end for the prior two completed fiscal years without the review and approval of our audit committee, or a committee composed solely of independent directors in the event it is inappropriate for our audit committee to review such transaction due to a conflict of interest. In approving or rejecting any such proposal, we expect that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00"/>
          </w:cols>
          <w:pgMar w:left="320" w:top="455" w:right="4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SPIN-OFF</w:t>
      </w:r>
    </w:p>
    <w:p>
      <w:pPr>
        <w:spacing w:after="0" w:line="22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section describes certain U.S. federal income tax consequences of the Spin-Off to U.S. holders (as defined below) and Non-U.S. holders (as defined below) of shares of AnaptysBio, Inc. common stock. This section applies solely to persons that hold shares of AnaptysBio, Inc. common stock and/or shares of Biopharma Co. common stock as capital assets for tax purposes. This section addresses only United States federal income taxation and does not discuss all of the tax consequences that may be relevant to a holder in light of such holder’s individual circumstances, including non-U.S., state or local tax consequences, estate and gift tax consequences, and tax consequences arising under the Medicare contribution tax on net investment income or the alternative minimum tax. This section does not apply to holders subject to special rules, including:</w:t>
      </w:r>
    </w:p>
    <w:p>
      <w:pPr>
        <w:spacing w:after="0" w:line="93" w:lineRule="exact"/>
        <w:rPr>
          <w:sz w:val="20"/>
          <w:szCs w:val="20"/>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broker in stocks and securities, commodities or foreign currencies;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 or real estate investment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elects to use a mark-to-market method of accounting for securities holdings;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financial institution, mutual fund, or insurance company;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directly, indirectly or constructively owns 5% or more of the combined voting power of AnaptysBio, Inc. or Biopharma Co., or of the total value of the shares of AnaptysBio, Inc. common stock or shares of Biopharma Co. common stock;</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holds shares of AnaptysBio, Inc. common stock or shares of Biopharma Co. common stock as part of a straddle or a hedging, conversion, or other risk reduction transaction for U.S. federal income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acquires or sells shares of AnaptysBio, Inc. common stock as a part of wash sale for U.S. federal income tax purposes;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S corporations or other passthrough entities (or investors in partnerships, S corporations or other pass-through entities);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acquired shares of AnaptysBio, Inc. common stock or shares of Biopharma Co. common stock pursuant to the exercise of employee stock options, through a tax qualified retirement plan or otherwise as compensation;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functional currency is not the U.S. dollar.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shares of AnaptysBio, Inc. common stock or shares of Biopharma Co.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that is, for U.S. federal income tax purposes:</w:t>
      </w:r>
    </w:p>
    <w:p>
      <w:pPr>
        <w:spacing w:after="0" w:line="112" w:lineRule="exact"/>
        <w:rPr>
          <w:sz w:val="20"/>
          <w:szCs w:val="20"/>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that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under the laws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its administration is subject to the primary supervision of a court within the United States and one or more U.S. persons have the authority to control all substantial decisions of the trust or (ii) it has a valid election in effect under applicable U.S. Treasury Regulations to be treated as a U.S. person.</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shares of AnaptysBio, Inc. common stock or shares of Biopharma Co. common stock that is neither a U.S. Holder nor an entity treated as a partnership for U.S. federal income tax purposes.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80"/>
          </w:cols>
          <w:pgMar w:left="320" w:top="455" w:right="4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This section is based on the Internal Revenue Code of 1986, as amended (the “Code”), its legislative history, existing and proposed regulations, published rulings and court decisions, as well as on applicable tax treaties, all as currently in effect. These authorities are subject to change, possibly on a retroactive basis.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discussion is intended to provide only a general summary of the material U.S. federal income tax consequences of the Spin-Off to holders of shares of AnaptysBio, Inc. common stock and the ownership of shares of Biopharma Co. common stock acquired pursuant to the Spin-Off. We do not intend it to be a complete analysis or description of all potential U.S. federal income tax consequences of the Spin-Off. The U.S. federal income tax laws are complex and subject to varying interpretations. Accordingly, the Internal Revenue Service (“IRS”) may not agree with the tax consequences described in this information statement.</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have not sought, and do not intend to seek, any ruling from the IRS with respect to the statements made and the conclusions reached in the following summary, and no assurance can be given that the IRS will agree with the views expressed herein, or that a court will not sustain any challenge by the IRS in the event of litigation.</w:t>
      </w:r>
    </w:p>
    <w:p>
      <w:pPr>
        <w:spacing w:after="0" w:line="176"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If an entity or arrangement treated as a partnership for U.S. federal income tax purposes holds shares of AnaptysBio, Inc. common stock or shares of Biopharma Co. common stock, the U.S. federal income tax treatment of a partner will generally depend on the status of the partner and the tax treatment of the partnership. A partner in an entity or arrangement treated as a partnership for U.S. federal income tax purposes holding shares should consult its tax advisors with regard to the U.S. federal income tax treatment of the Spin-Off and ownership of shares of Biopharma Co. common stock.</w:t>
      </w:r>
    </w:p>
    <w:p>
      <w:pPr>
        <w:spacing w:after="0" w:line="268"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U.S. Federal Income Tax Consequences of the Spin-Off and of the Ownership and Disposition of Shares of Biopharma Co. Common Stock to U.S. Holders</w:t>
      </w:r>
    </w:p>
    <w:p>
      <w:pPr>
        <w:spacing w:after="0" w:line="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Consequences of the Spin-Off to U.S. Holders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distribution of shares of Biopharma Co. common stock in the Spin-Off (including fractional shares for which U.S. holders receive cash) will be treated as a taxable distribution to U.S. holders for U.S. federal income tax purposes. An amount equal to the fair market value on the Distribution Date of the shares of Biopharma Co. common stock (including fractional shares for which a U.S. holder receives cash) received by a U.S. holder in the Spin-Off will generally be treated as a taxable dividend to the extent of such holder’s ratable share of any current or accumulated earnings and profits of AnaptysBio, Inc. (including gain recognized by AnaptysBio, Inc. in connection with the Spin-Off), with the excess treated first as a non-taxable return of capital to the extent of such holder’s tax basis in shares of AnaptysBio, Inc. common stock and any remaining excess treated as capital gain.</w:t>
      </w:r>
    </w:p>
    <w:p>
      <w:pPr>
        <w:spacing w:after="0" w:line="187" w:lineRule="exact"/>
        <w:rPr>
          <w:sz w:val="20"/>
          <w:szCs w:val="20"/>
          <w:color w:val="auto"/>
        </w:rPr>
      </w:pPr>
    </w:p>
    <w:p>
      <w:pPr>
        <w:jc w:val="both"/>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Dividends will be taxed as ordinary income to the extent that they are paid out of AnaptysBio, Inc.’s current or accumulated earnings and profits. Dividends paid to a non-corporate U.S. holder that constitute qualified dividend income are taxable to the stockholder at the preferential rates applicable to long-term capital gains, provided that the stockholder holds the shares for more than 60 days during the 121-day period beginning 60 days before the ex-dividend date and meets other holding period requirements. AnaptysBio, Inc. expects that any amount treated as a dividend paid by AnaptysBio, Inc. pursuant to the Spin-Off will constitute qualified dividend income, assuming the U.S. holder’s holding period requirements are met.</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 U.S. holder’s tax basis in its shares of AnaptysBio, Inc. common stock held on the Distribution Date will be reduced (but not below zero) to the extent that the fair market value on the Distribution Date of the shares of Biopharma Co. common stock received by such U.S. holder from AnaptysBio, Inc. in the Spin-Off exceeds such U.S. holder’s ratable share of AnaptysBio, Inc.’s current and accumulated earnings and profits (that is, the amount treated as a taxable dividend). AnaptysBio, Inc. has not calculated earnings and profits in accordance with U.S. federal income tax principles. Accordingly, U.S. holders should expect to treat the Spin-Off as a taxable dividend for U.S. federal income tax purposes.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the fair market value on the Distribution Date of the shares of Biopharma Co. common stock received by a U.S. holder from AnaptysBio, Inc. in the Spin-Off exceeds such U.S. holder’s adjusted tax basis in its shares of AnaptysBio, Inc. common stock, the U.S. holder generally must include such excess in income as long-term capital gain, or short-term capital gain if the U.S. holder’s shares of AnaptysBio, Inc. common stock have been held for one year or less. A U.S. holder’s holding period for its AnaptysBio, Inc. shares will not be affected by the Spin-Off.</w:t>
      </w:r>
    </w:p>
    <w:p>
      <w:pPr>
        <w:spacing w:after="0" w:line="18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A U.S. holder’s tax basis in the shares of Biopharma Co. common stock received in the Spin-Off generally will equal the fair market value of those shares on the Distribution Date, and a U.S. holder’s holding period for those shares will begin the day after the Distribution Date.</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Although AnaptysBio, Inc. will ascribe a value to the shares of Biopharma Co. common stock it distributes in the Spin-Off for tax purposes, this valuation is not binding on the IRS or any other tax authority. These taxing authorities could ascribe a higher valuation to those shares, particularly if shares of Biopharma Co. common stock trade at prices significantly above the value ascribed to those shares by AnaptysBio, Inc. in the period following the Spin-Off. Such a higher valuation may cause a larger reduction in the tax basis of a U.S. holder’s shares of AnaptysBio, Inc. common stock or may cause a U.S. holder to recognize additional dividend or capital gain income.</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Shares of Biopharma Co. Common Stock</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described in the section entitled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we do not anticipate declaring or paying cash dividends to holders of shares of Biopharma Co. common stock in the foreseeable future. However, if we do make distributions of cash or property on shares of our common stock, such distributions will constitute dividends for U.S. federal income tax purposes to the extent paid from our current or accumulated earnings and profits, as determined under U.S. federal income tax principles. Dividends received by certain non-corporate U.S. holders (including individuals) may be taxed at preferential rates applicable to qualified dividend income, provided certain holding period requirements are met. Corporate U.S. holders that meet certain holding period and other requirements may be eligible for a dividends-received deduction for a portion of the dividend received. Amounts not treated as dividends for U.S. federal income tax purposes will constitute a return of capital and first be applied against and reduce a U.S. holder’s adjusted tax basis in its shares of Biopharma Co. common stock, but not below zero. Any excess will be treated as capital gain. Such gain generally will be taxable as long-term capital gain if the shares have been held for more than one year.</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Shares of Biopharma Co. Common Stock</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Upon a subsequent sale or other taxable disposition of a share of Biopharma Co. common stock, a U.S. holder will recognize taxable gain or loss equal to the difference between the amount realized on the disposition of the share and the U.S. holder’s tax basis in the share. The gain or loss will be capital gain or loss. A non-corporate U.S. holder, including an individual, who has held the share for more than one year generally will be eligible for reduced tax rates for such long-term capital gains. The deductibility of capital losses is subject to limitations.</w:t>
      </w:r>
    </w:p>
    <w:p>
      <w:pPr>
        <w:spacing w:after="0" w:line="284"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U.S. Federal Income Tax Consequences of the Spin-Off and of the Ownership and Disposition of Shares of Biopharma Co. Common Stock to Non-U.S. Holders</w:t>
      </w:r>
    </w:p>
    <w:p>
      <w:pPr>
        <w:spacing w:after="0" w:line="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Consequences of the Spin-Off to Non-U.S. Holders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the Spin-Off, Non-U.S. holders will be treated as receiving a distribution from AnaptysBio, Inc. in an amount equal to the fair market value on the Distribution Date of the shares of Biopharma Co. common stock (including fractional shares for which a Non-U.S. holder receives cash), which will be treated as a dividend to the extent the Spin-Off is paid out of AnaptysBio, Inc.’s current or accumulated earnings and profits (as determined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40"/>
          </w:cols>
          <w:pgMar w:left="320" w:top="455" w:right="4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 xml:space="preserve">under U.S. federal income tax principles). Distributions in excess of current and accumulated earnings and profits generally will be treated as a return of capital that will be applied against and reduce a Non-U.S. holder’s adjusted tax basis in such Non-U.S. holder’s shares of AnaptysBio, Inc. common stock (but not below zero), with any remaining excess treated as gain from the sale or exchange of such shares as described under </w:t>
      </w:r>
      <w:r>
        <w:rPr>
          <w:rFonts w:ascii="Times New Roman" w:cs="Times New Roman" w:eastAsia="Times New Roman" w:hAnsi="Times New Roman"/>
          <w:sz w:val="18"/>
          <w:szCs w:val="18"/>
          <w:i w:val="1"/>
          <w:iCs w:val="1"/>
          <w:color w:val="auto"/>
        </w:rPr>
        <w:t>“—Sale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Taxable Disposition</w:t>
      </w:r>
      <w:r>
        <w:rPr>
          <w:rFonts w:ascii="Times New Roman" w:cs="Times New Roman" w:eastAsia="Times New Roman" w:hAnsi="Times New Roman"/>
          <w:sz w:val="18"/>
          <w:szCs w:val="18"/>
          <w:color w:val="auto"/>
        </w:rPr>
        <w:t>” below.</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Subject to the discussion below on effectively connected income, dividends paid to a Non-U.S. holder in the Spin-Off will be subject to U.S. federal withholding tax at a rate of 30% of the gross amount of the Spin-Off (or such lower rate specified by an applicable income tax treaty, provided the Non-U.S. holder furnishes a valid IRS Form W-8BEN or IRS Form W-8BEN-E, as applicable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87"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AnaptysBio, Inc. or other applicable withholding agents may be required or permitted to withhold at the applicable rate on all or a portion of the distribution of shares of Biopharma Co. common stock payable to a Non-U.S. holder, and any such withholding would be satisfied by AnaptysBio, Inc. or such agent by withholding and selling a portion of the shares of Biopharma Co. common stock that otherwise would be distributable to such holder or by withholding from other property held in such holder’s account with the withholding agent.</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If the Spin-Off paid to a Non-U.S. holder is effectively connected with the Non-U.S. holder’s conduct of a trade or business within the United States (and, if required by an applicable income tax treaty, the Non-U.S. holder maintains a permanent establishment in the United States to which such distribution is attributable), the Non-U.S. holder will be exempt from the U.S. federal withholding tax described above. To claim the exemption, the Non-U.S. holder must furnish to the applicable withholding agent a valid IRS Form W-8ECI, certifying that the Spin-Off is effectively connected with the Non-U.S. holder’s conduct of a trade or business within the United States.</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Any such effectively connected distribution will be subject to U.S. federal income tax on a net income basis at the regular rates. A Non-U.S. holder that is a corporation also may be subject to a branch profits tax at a rate of 30% (or such lower rate specified by an applicable income tax treaty) on such effectively connected distribution, as adjusted for certain items. Non-U.S. holders should consult their tax advisors regarding any applicable tax treaties that may provide for different rules.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Shares of Biopharma Co. Common Stock</w:t>
      </w:r>
    </w:p>
    <w:p>
      <w:pPr>
        <w:spacing w:after="0" w:line="11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As described in the section entitled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xml:space="preserve">,” we do not anticipate declaring or paying cash dividends to holders of shares of Biopharma Co. common stock in the foreseeable future. However, if we do make distributions of cash or property on shares of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shares of Biopharma Co. common stock, but not below zero. Any excess will be treated as capital gain and will be treated as described below under “ </w:t>
      </w:r>
      <w:r>
        <w:rPr>
          <w:rFonts w:ascii="Times New Roman" w:cs="Times New Roman" w:eastAsia="Times New Roman" w:hAnsi="Times New Roman"/>
          <w:sz w:val="18"/>
          <w:szCs w:val="18"/>
          <w:i w:val="1"/>
          <w:iCs w:val="1"/>
          <w:color w:val="auto"/>
        </w:rPr>
        <w:t>—Sale or Other Taxable Disposition</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Subject to the discussion below on effectively connected income, dividends paid to a Non-U.S. holder of shares of Biopharma Co. common stock will be subject to U.S. federal withholding tax at a rate of 30% of the gross amount of the dividends (or such lower rate specified by an applicable income tax treaty, provided the Non-U.S. holder furnishes a valid IRS Form W-8BEN or IRS Form W-8BEN-E, as applicable (or other applicable documentation), certifying qualification for the lower treaty rate). A Non-U.S. holder that does not timely furnish the required documentation, but that qualifies for a reduced treaty rate, may obtain a refund of any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40"/>
          </w:cols>
          <w:pgMar w:left="320" w:top="455" w:right="4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excess amounts withheld by timely filing an appropriate claim for refund with the IRS. Non-U.S. holders should consult their tax advisors regarding their entitlement to benefits under any applicable income tax treaty.</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Non-U.S. Holder will not be subject to U.S. federal income tax on any gain realized upon the sale or other taxable disposition of shares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Biopharma Co. common stock (including with respect to any cash received in lieu of a fractional share of Biopharma Co. common stock) unless:</w:t>
      </w:r>
    </w:p>
    <w:p>
      <w:pPr>
        <w:spacing w:after="0" w:line="112" w:lineRule="exact"/>
        <w:rPr>
          <w:sz w:val="20"/>
          <w:szCs w:val="20"/>
          <w:color w:val="auto"/>
        </w:rPr>
      </w:pPr>
    </w:p>
    <w:p>
      <w:pPr>
        <w:ind w:left="1080" w:right="80" w:hanging="424"/>
        <w:spacing w:after="0" w:line="266"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81"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Biopharma Co. common stock constitute a U.S. real property interest, or USRPI, by reason of Biopharma Co’s status as a U.S. real property holding corporation, or USRPHC, for U.S. federal income tax purposes.</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76"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With respect to the third bullet point above, Biopharma Co. does not anticipate becoming a USRPHC. Because the determination of whether Biopharma Co. is a USRPHC depends on the fair market value of Biopharma Co’s USRPIs relative to the fair market value of its non-U.S. real property interests and its other business assets, there can be no assurance Biopharma Co. will not become a USRPHC in the future. Even if Biopharma Co. were to become a USRPHC, gain arising from the sale or other taxable disposition by a Non-U.S. holder of shares of Biopharma Co. common stock will not be subject to U.S. federal income tax if such stock is “regularly traded,” as defined by applicable Treasury Regulations, on an established securities market, and such Non-U.S. holder owned, actually and constructively, 5% or less of such stock throughout the shorter of the five-year period ending on the date of the sale or other taxable disposition or the Non-U.S. holder’s holding period, or if another exception from these rules under the Code applies.</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00"/>
          </w:cols>
          <w:pgMar w:left="320" w:top="455" w:right="47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potentially applicable income tax treaties that may provide for different rules.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Information Reporting, Backup Withholding and FATCA Withholding</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 U.S. holder may be subject to information reporting and backup withholding when such holder receives payments on shares of Biopharma Co. common stock or proceeds from the sale or other taxable disposition of such shares. Certain U.S. holders are exempt from backup withholding, including corporations and certain tax-exempt organizations. A U.S. holder will be subject to backup withholding if such holder is not otherwise exempt and:</w:t>
      </w:r>
    </w:p>
    <w:p>
      <w:pPr>
        <w:spacing w:after="0" w:line="85" w:lineRule="exact"/>
        <w:rPr>
          <w:sz w:val="20"/>
          <w:szCs w:val="20"/>
          <w:color w:val="auto"/>
        </w:rPr>
      </w:pPr>
    </w:p>
    <w:p>
      <w:pPr>
        <w:ind w:left="1080" w:right="560" w:hanging="424"/>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fails to furnish the holder’s taxpayer identification number, which for an individual is ordinarily his or her social security number;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furnishes an incorrect taxpayer identification number;</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withholding agent is notified by the IRS that the holder previously failed to properly report payments of interest or dividends; or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fails to certify under penalties of perjury that the holder has furnished a correct taxpayer identification number and that the IRS has not notified the holder that the holder is subject to backup withholding.</w:t>
      </w:r>
    </w:p>
    <w:p>
      <w:pPr>
        <w:spacing w:after="0" w:line="162" w:lineRule="exact"/>
        <w:rPr>
          <w:sz w:val="20"/>
          <w:szCs w:val="20"/>
          <w:color w:val="auto"/>
        </w:rPr>
      </w:pPr>
    </w:p>
    <w:p>
      <w:pPr>
        <w:jc w:val="both"/>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12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The payments of dividends on shares of Biopharma Co. common stock will not be subject to backup withholding, provided the applicable withholding agent does not have actual knowledge or reason to know the holder is a United States person and the holder either certifies its non-U.S. status, such as by furnishing a valid IRS Form W-8BEN, IRS Form W-8BEN-E or IRS Form W-8ECI, as applicable, or otherwise establishes an exemption. However, information returns are required to be filed with the IRS in connection with any distributions on shares of Biopharma Co. common stock paid to the Non-U.S. holder, regardless of whether such distributions constitute dividends or any tax was actually withheld. In addition, proceeds from the sale or other taxable disposition of shares Biopharma Co. common stock (including with respect to any cash received in lieu of a fractional share of Biopharma Co.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from a sale or other taxable disposition of shares of Biopharma Co. common stock (including with respect to any cash received in lieu of a fractional share of Biopharma Co. common stock) conducted through a non-U.S. office of a non-U.S. broker generally will not be subject to backup withholding or information reporting.</w:t>
      </w:r>
    </w:p>
    <w:p>
      <w:pPr>
        <w:spacing w:after="0" w:line="18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FATCA</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Sections 1471 through 1474 of the Code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w:t>
      </w:r>
    </w:p>
    <w:p>
      <w:pPr>
        <w:spacing w:after="0" w:line="19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EACH ANAPTYSBIO, INC. STOCKHOLDER SHOULD CONSULT ITS TAX ADVISOR ABOUT THE PARTICULAR CONSEQUENCES OF THE SPIN-OFF TO SUCH STOCKHOLDER, INCLUDING THE APPLICATION OF STATE, LOCAL AND FOREIGN TAX LAWS, AND POSSIBLE CHANGES IN TAX LAW THAT MAY AFFECT THE TAX CONSEQUENCES DESCRIBED ABOVE.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80"/>
          </w:cols>
          <w:pgMar w:left="320" w:top="455" w:right="4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Prior to the Spin-Off, there has been no public market for shares of our common stock, and we cannot predict the effect, if any, that market sales of shares of our common stock or the availability of shares of our common stock for sale will have on the market price of shares of our common stock prevailing from time to time. Nevertheless, sales of substantial amounts of shares of our common stock in the public market could adversely affect market prices prevailing from time to time and could impair our ability to raise capital through the sale of our equity securities.</w:t>
      </w:r>
    </w:p>
    <w:p>
      <w:pPr>
        <w:spacing w:after="0" w:line="180"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the Spin-Off, we estimate that we will have outstanding an aggregate of approximately        shares of Biopharma Co. common stock based upon the number of shares of AnaptysBio, Inc. common stock outstanding on        , 2026, assuming the distribution ratio of one share of common stock of Biopharma Co. for every         shares of AnaptysBio, Inc. common stock.</w:t>
      </w:r>
    </w:p>
    <w:p>
      <w:pPr>
        <w:spacing w:after="0" w:line="176"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All shares of our common stock issued in the Spin-Off will be freely tradable, except that any shares issued pursuant to the Spin-Off to our affiliates, as that term is defined in Rule 144 under the Securities Act, could only be sold in compliance with Rule 144.</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8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on behalf of our affiliates are entitled to sell, within any three-month period, a number of shares that does not exceed the greater of:</w:t>
      </w:r>
    </w:p>
    <w:p>
      <w:pPr>
        <w:sectPr>
          <w:pgSz w:w="11900" w:h="16838" w:orient="portrait"/>
          <w:cols w:equalWidth="0" w:num="1">
            <w:col w:w="11100"/>
          </w:cols>
          <w:pgMar w:left="320" w:top="455" w:right="479" w:bottom="1440" w:gutter="0" w:footer="0" w:header="0"/>
        </w:sectPr>
      </w:pP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of the number of shares of our common stock then outstanding, which will equal approximately shares  </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immediately after the</w:t>
      </w:r>
    </w:p>
    <w:p>
      <w:pPr>
        <w:spacing w:after="0" w:line="39" w:lineRule="exact"/>
        <w:rPr>
          <w:sz w:val="20"/>
          <w:szCs w:val="20"/>
          <w:color w:val="auto"/>
        </w:rPr>
      </w:pPr>
    </w:p>
    <w:p>
      <w:pPr>
        <w:sectPr>
          <w:pgSz w:w="11900" w:h="16838" w:orient="portrait"/>
          <w:cols w:equalWidth="0" w:num="6">
            <w:col w:w="720" w:space="360"/>
            <w:col w:w="7760" w:space="140"/>
            <w:col w:w="40" w:space="140"/>
            <w:col w:w="40" w:space="140"/>
            <w:col w:w="40" w:space="180"/>
            <w:col w:w="1540"/>
          </w:cols>
          <w:pgMar w:left="320" w:top="455" w:right="47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7"/>
          <w:szCs w:val="17"/>
          <w:color w:val="auto"/>
        </w:rPr>
        <w:t>Spin-Off; or</w:t>
      </w:r>
    </w:p>
    <w:p>
      <w:pPr>
        <w:sectPr>
          <w:pgSz w:w="11900" w:h="16838" w:orient="portrait"/>
          <w:cols w:equalWidth="0" w:num="1">
            <w:col w:w="11100"/>
          </w:cols>
          <w:pgMar w:left="320" w:top="455" w:right="479" w:bottom="1440" w:gutter="0" w:footer="0" w:header="0"/>
          <w:type w:val="continuous"/>
        </w:sectPr>
      </w:pPr>
    </w:p>
    <w:p>
      <w:pPr>
        <w:spacing w:after="0" w:line="124" w:lineRule="exact"/>
        <w:rPr>
          <w:sz w:val="20"/>
          <w:szCs w:val="20"/>
          <w:color w:val="auto"/>
        </w:rPr>
      </w:pPr>
    </w:p>
    <w:p>
      <w:pPr>
        <w:ind w:left="1080" w:right="20" w:hanging="424"/>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shares of our common stock during the four calendar weeks preceding the filing of a notice on Form 144 with respect to that sale.</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Under the 2026 Biopharma Co. Equity Incentive Plan, the total number of shares of common stock that will be reserved and available for awards is equal to       shares of our common stock. For a description of the 2026 Biopharma Co. Equity Incentive Plan, see “</w:t>
      </w:r>
      <w:r>
        <w:rPr>
          <w:rFonts w:ascii="Times New Roman" w:cs="Times New Roman" w:eastAsia="Times New Roman" w:hAnsi="Times New Roman"/>
          <w:sz w:val="18"/>
          <w:szCs w:val="18"/>
          <w:i w:val="1"/>
          <w:iCs w:val="1"/>
          <w:color w:val="auto"/>
        </w:rPr>
        <w:t>Executive and 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Compensation—Anticipated Compensation Program Design Following the Spin-Off</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Under the 2026 Biopharma Co. Employee Stock Purchase Plan, the total number of shares of common stock that will be authorized for sale is equal to       shares of our common stock. For a description of the 2026 Biopharma Co. Employee Stock Purchase Plan, see “</w:t>
      </w:r>
      <w:r>
        <w:rPr>
          <w:rFonts w:ascii="Times New Roman" w:cs="Times New Roman" w:eastAsia="Times New Roman" w:hAnsi="Times New Roman"/>
          <w:sz w:val="18"/>
          <w:szCs w:val="18"/>
          <w:i w:val="1"/>
          <w:iCs w:val="1"/>
          <w:color w:val="auto"/>
        </w:rPr>
        <w:t>Executive and 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Compensation—Anticipated Compensation Program Design Following the Spin-Off</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00"/>
          </w:cols>
          <w:pgMar w:left="320" w:top="455" w:right="479" w:bottom="144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soon as practicable after the closing of the Spin-Off, we intend to file one or more registration statements on Form S-8 under the Securities Act covering all of the shares of our common stock reserved for issuance under the 2026 Biopharma Co. Equity Incentive Plan and the Biopharma Co. 2026 Employee Stock Purchase Plan. However, the shares registered on Form S-8 may be subject to the vesting requirements, volume limitations, and the manner of sale, notice, and public information requirements of Rule 144. “</w:t>
      </w:r>
      <w:r>
        <w:rPr>
          <w:rFonts w:ascii="Times New Roman" w:cs="Times New Roman" w:eastAsia="Times New Roman" w:hAnsi="Times New Roman"/>
          <w:sz w:val="18"/>
          <w:szCs w:val="18"/>
          <w:i w:val="1"/>
          <w:iCs w:val="1"/>
          <w:color w:val="auto"/>
        </w:rPr>
        <w:t>Executive and Director Compensation—Anticipated Compensation Program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Design Following the Spin-Off</w:t>
      </w:r>
      <w:r>
        <w:rPr>
          <w:rFonts w:ascii="Times New Roman" w:cs="Times New Roman" w:eastAsia="Times New Roman" w:hAnsi="Times New Roman"/>
          <w:sz w:val="18"/>
          <w:szCs w:val="18"/>
          <w:color w:val="auto"/>
        </w:rPr>
        <w:t>” for a description of our equity incentive plans.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00"/>
          </w:cols>
          <w:pgMar w:left="320" w:top="455" w:right="47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Spin-Off, we will amend and restate our certificate of incorporation and our bylaws. The following description summarizes the material terms of our restated certificate of incorporation and our restated bylaws, which will be in effect prior to the completion of the Spin-Off. Because it is only a summary, it does not contain all the information that may be important to you. For a complete description, you should refer to our restated certificate of incorporation and restated bylaws, which will be included as exhibits to the registration statement of which this information statement forms a part, and to the applicable provisions of Delaware law.</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Upon the closing of the Spin-Off, our authorized capital stock will consist of        shares of common stock, $0.001 par value per share and        shares of undesignated preferred stock, $0.001 par value per share. Upon the closing of the Spin-Off, there will be no shares of preferred stock outstanding and         shares of our common stock outstanding.</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shares of our common stock are entitled to receive dividends out of funds legally available if our board of directors, in its discretion, determines to issue dividends and then only at the times and in the amounts that our board of directors may determine. See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above.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Holders of shares of our common stock are entitled to one vote for each share held on all matters submitted to a vote of stockholders. We have not provided for cumulative voting for the election of directors in our restated certificate of incorporation. Accordingly, pursuant to our restated certificate of incorporation that will be in effect upon the closing of the Spin-Off, holders of a majority of the shares of our common stock will be able to elect all of our directors. Our restated certificate of incorporation establishes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Shares of our common stock are not entitled to preemptive rights, and are not subject to conversion, redemption or sinking fund provisions.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Upon our liquidation, dissolution or winding-up, the assets legally available for distribution to our stockholders would be distributable ratably among the holders of shares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Following the Spin-Off,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40"/>
          </w:cols>
          <w:pgMar w:left="320" w:top="455" w:right="4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and any of their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shares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shares of our common stock and the voting and other rights of the holders of shares of our common stock. We have no current plan to issue any shares of preferred stock.</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provisions of Delaware law, our restated certificate of incorporation and our restated bylaws, as we expect they will be in effect upon the closing of the Spin-Off,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will be subject to the provisions of Section 203 of the DGCL regulating corporate takeovers. This section prevents some Delaware corporations, including us,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85" w:lineRule="exact"/>
        <w:rPr>
          <w:sz w:val="20"/>
          <w:szCs w:val="20"/>
          <w:color w:val="auto"/>
        </w:rPr>
      </w:pPr>
    </w:p>
    <w:p>
      <w:pPr>
        <w:ind w:left="1080" w:right="300" w:hanging="424"/>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that the stockholder became an interested stockholder, the business combination is approved by the board of directors and authorized at an annual or special meeting of stockholders by at least two-thirds of the outstanding voting stock not owned by the interested stockholder.</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do not plan to “opt out” of these provisions. The statute could prohibit or delay mergers or other takeover or change in control attempts and, accordingly, may discourage attempts to acquire us.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Restated Certificate of Incorporation and Restated Bylaw Provisions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our restated bylaws, as we expect they will be in effect upon the closing of the Spin-Off, include a number of provisions that could deter hostile takeovers or delay or prevent changes in control of our company, including the following:</w:t>
      </w:r>
    </w:p>
    <w:p>
      <w:pPr>
        <w:spacing w:after="0" w:line="65" w:lineRule="exact"/>
        <w:rPr>
          <w:sz w:val="20"/>
          <w:szCs w:val="20"/>
          <w:color w:val="auto"/>
        </w:rPr>
      </w:pPr>
    </w:p>
    <w:p>
      <w:pPr>
        <w:ind w:left="1080" w:right="60" w:hanging="424"/>
        <w:spacing w:after="0" w:line="277" w:lineRule="auto"/>
        <w:tabs>
          <w:tab w:leader="none" w:pos="108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Board of Directors Vacancies</w:t>
      </w:r>
      <w:r>
        <w:rPr>
          <w:rFonts w:ascii="Times New Roman" w:cs="Times New Roman" w:eastAsia="Times New Roman" w:hAnsi="Times New Roman"/>
          <w:sz w:val="17"/>
          <w:szCs w:val="17"/>
          <w:color w:val="auto"/>
        </w:rPr>
        <w:t>. Our restated certificate of incorporation and restated bylaws will authorize only our board of directors to fill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73" w:lineRule="exact"/>
        <w:rPr>
          <w:rFonts w:ascii="Times New Roman" w:cs="Times New Roman" w:eastAsia="Times New Roman" w:hAnsi="Times New Roman"/>
          <w:sz w:val="17"/>
          <w:szCs w:val="17"/>
          <w:color w:val="auto"/>
        </w:rPr>
      </w:pPr>
    </w:p>
    <w:p>
      <w:pPr>
        <w:ind w:left="1080" w:right="100" w:hanging="424"/>
        <w:spacing w:after="0" w:line="261"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Classified Board</w:t>
      </w:r>
      <w:r>
        <w:rPr>
          <w:rFonts w:ascii="Times New Roman" w:cs="Times New Roman" w:eastAsia="Times New Roman" w:hAnsi="Times New Roman"/>
          <w:sz w:val="18"/>
          <w:szCs w:val="18"/>
          <w:color w:val="auto"/>
        </w:rPr>
        <w:t>. Our restated certificate of incorporation and restated bylaws will provide that our board is classified into three classes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 See “</w:t>
      </w:r>
      <w:r>
        <w:rPr>
          <w:rFonts w:ascii="Times New Roman" w:cs="Times New Roman" w:eastAsia="Times New Roman" w:hAnsi="Times New Roman"/>
          <w:sz w:val="18"/>
          <w:szCs w:val="18"/>
          <w:i w:val="1"/>
          <w:iCs w:val="1"/>
          <w:color w:val="auto"/>
        </w:rPr>
        <w:t>Management—Classified Board of Directors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Action; Special Meetings of Stockholders</w:t>
      </w:r>
      <w:r>
        <w:rPr>
          <w:rFonts w:ascii="Times New Roman" w:cs="Times New Roman" w:eastAsia="Times New Roman" w:hAnsi="Times New Roman"/>
          <w:sz w:val="18"/>
          <w:szCs w:val="18"/>
          <w:color w:val="auto"/>
        </w:rPr>
        <w:t>. Our restated certificate of incorporation will provide that our stockholders may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 action by 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restated bylaws will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90"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r>
        <w:rPr>
          <w:rFonts w:ascii="Times New Roman" w:cs="Times New Roman" w:eastAsia="Times New Roman" w:hAnsi="Times New Roman"/>
          <w:sz w:val="18"/>
          <w:szCs w:val="18"/>
          <w:color w:val="auto"/>
        </w:rPr>
        <w:t>. Our restated bylaws will provide advance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for stockholders seeking to bring business before our annual meeting of stockholders or to nominate candidates for election as directors at our annual meeting of stockholders. Our restated bylaws also will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88" w:lineRule="exact"/>
        <w:rPr>
          <w:rFonts w:ascii="Times New Roman" w:cs="Times New Roman" w:eastAsia="Times New Roman" w:hAnsi="Times New Roman"/>
          <w:sz w:val="18"/>
          <w:szCs w:val="18"/>
          <w:color w:val="auto"/>
        </w:rPr>
      </w:pPr>
    </w:p>
    <w:p>
      <w:pPr>
        <w:ind w:left="1080" w:right="80" w:hanging="424"/>
        <w:spacing w:after="0" w:line="267"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Cumulative Voting</w:t>
      </w:r>
      <w:r>
        <w:rPr>
          <w:rFonts w:ascii="Times New Roman" w:cs="Times New Roman" w:eastAsia="Times New Roman" w:hAnsi="Times New Roman"/>
          <w:sz w:val="18"/>
          <w:szCs w:val="18"/>
          <w:color w:val="auto"/>
        </w:rPr>
        <w:t>. The DGCL provides that stockholders are not entitled to the right to cumulate votes in the election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a corporation’s certificate of incorporation provides otherwise. Our restated certificate of incorporation and restated bylaws will not provide for cumulative voting.</w:t>
      </w:r>
    </w:p>
    <w:p>
      <w:pPr>
        <w:spacing w:after="0" w:line="78" w:lineRule="exact"/>
        <w:rPr>
          <w:rFonts w:ascii="Times New Roman" w:cs="Times New Roman" w:eastAsia="Times New Roman" w:hAnsi="Times New Roman"/>
          <w:sz w:val="18"/>
          <w:szCs w:val="18"/>
          <w:color w:val="auto"/>
        </w:rPr>
      </w:pPr>
    </w:p>
    <w:p>
      <w:pPr>
        <w:ind w:left="1080" w:right="160" w:hanging="424"/>
        <w:spacing w:after="0" w:line="284"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Directors Removed Only for Cause</w:t>
      </w:r>
      <w:r>
        <w:rPr>
          <w:rFonts w:ascii="Times New Roman" w:cs="Times New Roman" w:eastAsia="Times New Roman" w:hAnsi="Times New Roman"/>
          <w:sz w:val="18"/>
          <w:szCs w:val="18"/>
          <w:color w:val="auto"/>
        </w:rPr>
        <w:t>. Our restated certificate of incorporation will provide that stockholders may remove directors only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and only by the affirmative vote of the holders of at least two-thirds of our outstanding shares of common stock.</w:t>
      </w:r>
    </w:p>
    <w:p>
      <w:pPr>
        <w:spacing w:after="0" w:line="63" w:lineRule="exact"/>
        <w:rPr>
          <w:rFonts w:ascii="Times New Roman" w:cs="Times New Roman" w:eastAsia="Times New Roman" w:hAnsi="Times New Roman"/>
          <w:sz w:val="18"/>
          <w:szCs w:val="18"/>
          <w:color w:val="auto"/>
        </w:rPr>
      </w:pPr>
    </w:p>
    <w:p>
      <w:pPr>
        <w:ind w:left="1080" w:right="360" w:hanging="424"/>
        <w:spacing w:after="0" w:line="284"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of Charter Provisions</w:t>
      </w:r>
      <w:r>
        <w:rPr>
          <w:rFonts w:ascii="Times New Roman" w:cs="Times New Roman" w:eastAsia="Times New Roman" w:hAnsi="Times New Roman"/>
          <w:sz w:val="18"/>
          <w:szCs w:val="18"/>
          <w:color w:val="auto"/>
        </w:rPr>
        <w:t>. Any amendment of the above expected provisions in our restated certificate of incorporation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approval by holders of at least two-thirds of our outstanding shares of common stock.</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 of Undesignated Preferred Stock</w:t>
      </w:r>
      <w:r>
        <w:rPr>
          <w:rFonts w:ascii="Times New Roman" w:cs="Times New Roman" w:eastAsia="Times New Roman" w:hAnsi="Times New Roman"/>
          <w:sz w:val="18"/>
          <w:szCs w:val="18"/>
          <w:color w:val="auto"/>
        </w:rPr>
        <w:t>. Our board of directors has the authority, without further action by the stockholders, to issue up</w:t>
      </w:r>
    </w:p>
    <w:p>
      <w:pPr>
        <w:spacing w:after="0" w:line="29" w:lineRule="exact"/>
        <w:rPr>
          <w:sz w:val="20"/>
          <w:szCs w:val="20"/>
          <w:color w:val="auto"/>
        </w:rPr>
      </w:pPr>
    </w:p>
    <w:p>
      <w:pPr>
        <w:ind w:left="1080" w:right="220"/>
        <w:spacing w:after="0" w:line="260" w:lineRule="auto"/>
        <w:rPr>
          <w:sz w:val="20"/>
          <w:szCs w:val="20"/>
          <w:color w:val="auto"/>
        </w:rPr>
      </w:pPr>
      <w:r>
        <w:rPr>
          <w:rFonts w:ascii="Times New Roman" w:cs="Times New Roman" w:eastAsia="Times New Roman" w:hAnsi="Times New Roman"/>
          <w:sz w:val="18"/>
          <w:szCs w:val="18"/>
          <w:color w:val="auto"/>
        </w:rPr>
        <w:t>to         shares of undesignated preferred stock with rights and preferences, including voting rights, designated from time to time by our board of directors. The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40"/>
          </w:cols>
          <w:pgMar w:left="320" w:top="455" w:right="4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100" w:right="20"/>
        <w:spacing w:after="0" w:line="282" w:lineRule="auto"/>
        <w:rPr>
          <w:sz w:val="20"/>
          <w:szCs w:val="20"/>
          <w:color w:val="auto"/>
        </w:rPr>
      </w:pPr>
      <w:r>
        <w:rPr>
          <w:rFonts w:ascii="Times New Roman" w:cs="Times New Roman" w:eastAsia="Times New Roman" w:hAnsi="Times New Roman"/>
          <w:sz w:val="18"/>
          <w:szCs w:val="18"/>
          <w:color w:val="auto"/>
        </w:rPr>
        <w:t>existence of authorized but unissued shares of preferred stock would enable our board of directors to render more difficult or to discourage an attempt to obtain control of us by merger, tender offer, proxy contest or other means.</w:t>
      </w:r>
    </w:p>
    <w:p>
      <w:pPr>
        <w:spacing w:after="0" w:line="65" w:lineRule="exact"/>
        <w:rPr>
          <w:sz w:val="20"/>
          <w:szCs w:val="20"/>
          <w:color w:val="auto"/>
        </w:rPr>
      </w:pPr>
    </w:p>
    <w:p>
      <w:pPr>
        <w:ind w:left="1080" w:hanging="424"/>
        <w:spacing w:after="0" w:line="254"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Choice of Forum</w:t>
      </w:r>
      <w:r>
        <w:rPr>
          <w:rFonts w:ascii="Times New Roman" w:cs="Times New Roman" w:eastAsia="Times New Roman" w:hAnsi="Times New Roman"/>
          <w:sz w:val="18"/>
          <w:szCs w:val="18"/>
          <w:color w:val="auto"/>
        </w:rPr>
        <w:t>. Our restated certificate of incorporation will provide that the Court of Chancery of the State of Delaware will be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This choice of forum provision may limit a stockholder’s ability to bring a claim in a judicial forum that it finds favorable for disputes with us or any of our directors, officers, or other employees, which may discourage lawsuits against us and our directors, officers, and other employees. This exclusive forum provision will not apply to claims that are vested in the exclusive jurisdiction of a court or forum other than the Court of Chancery of the State of Delaware, or for which the Court of Chancery of the State of Delaware does not have subject matter jurisdiction. For instance, the provision would not preclude the filing of claims brought to enforce any liability or duty created by the Exchange Act or Securities Act of 1933, as amended, or the rules and regulations thereunder in federal court.</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Section 145 of the DGCL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w:t>
      </w:r>
    </w:p>
    <w:p>
      <w:pPr>
        <w:spacing w:after="0" w:line="176"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As permitted by the DGCL, our restated certificate of incorporation to become effective in connection with the completion of the Spin-Off contains provisions that eliminate the personal liability of its directors for monetary damages for any breach of fiduciary duties as a director, except liability for the following:</w:t>
      </w:r>
    </w:p>
    <w:p>
      <w:pPr>
        <w:spacing w:after="0" w:line="81" w:lineRule="exact"/>
        <w:rPr>
          <w:sz w:val="20"/>
          <w:szCs w:val="20"/>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Company or its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(regarding unlawful dividends and stock purchases);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permitted by the DGCL, our restated bylaws to become effective upon the completion of the Spin-Off provide that:</w:t>
      </w:r>
    </w:p>
    <w:p>
      <w:pPr>
        <w:spacing w:after="0" w:line="131" w:lineRule="exact"/>
        <w:rPr>
          <w:sz w:val="20"/>
          <w:szCs w:val="20"/>
          <w:color w:val="auto"/>
        </w:rPr>
      </w:pPr>
    </w:p>
    <w:p>
      <w:pPr>
        <w:ind w:left="1080" w:right="220" w:hanging="424"/>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required to indemnify its directors and executive officers to the fullest extent permitted by the DGCL, subject to limited exceptions;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indemnify its other employees and agents as set forth in the DGCL;</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required to advance expenses, as incurred, to its directors and executive officers in connection with a legal proceeding to the fullest extent permitted by the DGCL, subject to limited exceptions;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the restated bylaws are not exclusive.</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Prior to the completion of the Spin-Off, the Company has entered into indemnification agreements with each of its current directors and executive officers to provide these directors and executive officers additional contractual assurances regarding the scope of the indemnification set forth in the Company’s restated certificate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00"/>
          </w:cols>
          <w:pgMar w:left="320" w:top="455" w:right="4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of incorporation and restated bylaws and to provide additional procedural protections. There is no pending litigation or proceeding involving a director or executive officer of the Registrant for which indemnification is sought. The indemnification provisions in the Company’s restated certificate of incorporation, restated bylaws and the indemnification agreements entered into or to be entered into between the Company and each of its directors and executive officers may be sufficiently broad to permit indemnification of the Company’s directors and executive officers for liabilities arising under the Securities Act.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intends to carry liability insurance for its directors and officers.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Conflicts of Interest; Corporate Opportunities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Delaware law, officers and directors generally have an obligation to present to the corporation they serve business opportunities which the corporation is financially able to undertake and which falls within the corporation’s business line and are of practical advantage to the corporation, or in which the corporation has an actual or expectant interest. A corollary of this general rule is that when a business opportunity comes to an officer or director that is not one in which the corporation has an actual or expectant interest, the officer is generally not obligated to present it to the corporation. Certain of our officers and directors may serve as officers, directors or fiduciaries of AnaptysBio, Inc. and other entities and, therefore, may have legal obligations relating to presenting available business opportunities to us and to other entities. Potential conflicts of interest may arise when our officers and directors learn of business opportunities (e.g., the opportunity to acquire an asset or portfolio of assets, to make a specific investment, to effect a sale transaction, etc.) that would be of material advantage to us and to one or more other entities of which they serve as officers, directors or other fiduciaries.</w:t>
      </w:r>
    </w:p>
    <w:p>
      <w:pPr>
        <w:spacing w:after="0" w:line="188" w:lineRule="exact"/>
        <w:rPr>
          <w:sz w:val="20"/>
          <w:szCs w:val="20"/>
          <w:color w:val="auto"/>
        </w:rPr>
      </w:pPr>
    </w:p>
    <w:p>
      <w:pPr>
        <w:ind w:left="120" w:right="340" w:firstLine="440"/>
        <w:spacing w:after="0" w:line="254" w:lineRule="auto"/>
        <w:rPr>
          <w:sz w:val="20"/>
          <w:szCs w:val="20"/>
          <w:color w:val="auto"/>
        </w:rPr>
      </w:pPr>
      <w:r>
        <w:rPr>
          <w:rFonts w:ascii="Times New Roman" w:cs="Times New Roman" w:eastAsia="Times New Roman" w:hAnsi="Times New Roman"/>
          <w:sz w:val="18"/>
          <w:szCs w:val="18"/>
          <w:color w:val="auto"/>
        </w:rPr>
        <w:t>Section 122(17) of the DGCL permits a corporation to renounce, in advance, in its certificate of incorporation or by action of its board of directors, any interest or expectancy of a corporation in certain classes or categories of business opportunities. Where business opportunities are so renounced, certain of our officers and directors will not be obligated to present any such business opportunities to us. Our restated certificate of incorporation will provide that, to the fullest extent permitted by law, no officer or director of ours who is also an officer, director, principal, partner, member, manager, employee, agent or other representative of AnaptysBio, Inc. or its respective affiliates will be liable to us or our stockholders for breach of any fiduciary duty by reason of the fact that any such individual directs a corporate opportunity to AnaptysBio, Inc. or its affiliates and representatives instead of us, or does not communicate information regarding a corporate opportunity to us that such individual has directed to AnaptysBio, Inc. or its affiliates and representatives.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the closing of the Spin-Off, the transfer agent and registrar for shares of our common stock will be Equiniti Trust Company, LLC.</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We intend to apply to list shares of our common stock on the Exchange under the symbol “         ” and the completion of the Spin-Off is conditioned on shares of our common stock being accepted for listing on the Exchange.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10 with respect to the shares of common stock being issued in the Spin-Off. This information statement constitutes a part of that registration statement. This information statement does not contain all of the information set forth in the registration statement and the exhibits and schedules to the registration statement, because some parts have been omitted in accordance with the rules and regulations of the SEC. For further information with respect to us and shares of our common stock being issued in the Spin-Off, you should refer to the registration statement and the exhibits and schedules filed as part of the registration statement. Statements contained in this information statement regarding the contents of any agreement, contract or other document referred to herein are not necessarily complete; reference is made in each instance to the copy of the contract or document filed as an exhibit to the registration statement. Each statement is qualified by reference to such exhibit.</w:t>
      </w:r>
    </w:p>
    <w:p>
      <w:pPr>
        <w:spacing w:after="0" w:line="17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After completion of the Spin-Off, we will be subject to the informational reporting requirements of the Exchange Act and, in accordance with the Exchange Act, we will be required to file annual, quarterly and current reports, proxy statements and other information with the SEC. The SEC maintains an internet site that contains reports, proxy and information statements and other information regarding registrants that file electronically with the SEC. The SEC’s website address is www.sec.gov.</w:t>
      </w:r>
    </w:p>
    <w:p>
      <w:pPr>
        <w:spacing w:after="0" w:line="180"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maintain a website at www.         .com. We intend to make the information filed with or furnished to the SEC available free of charge on our website after the completion of the Spin-Off. You can review these documents on the SEC’s website, as described above. Information contained on, or accessible through, our website is not incorporated by reference into, and does not constitute a part of, this information statement or any other report or document we file with or furnish to the SEC.</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we will provide electronic or paper copies of our filings free of charge upon written request to the following address: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Biopharma Company, Inc.</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10770 Wateridge Circle, Suite 210</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You should rely only on the information contained in this information statement or to which we have referred you. We have not authorized any person to provide you with different information or to make any representation not contained in this information statement.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60"/>
          </w:cols>
          <w:pgMar w:left="320" w:top="455" w:right="51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07"/>
        </w:trPr>
        <w:tc>
          <w:tcPr>
            <w:tcW w:w="94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6380" w:type="dxa"/>
            <w:vAlign w:val="bottom"/>
            <w:gridSpan w:val="6"/>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9"/>
              </w:rPr>
              <w:t>Confidential Treatment Requested by Biopharma Company, Inc.</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380" w:type="dxa"/>
            <w:vAlign w:val="bottom"/>
            <w:gridSpan w:val="6"/>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9"/>
              </w:rPr>
              <w:t>Pursuant to 17 C.F.R. Section 200.83</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380" w:type="dxa"/>
            <w:vAlign w:val="bottom"/>
            <w:gridSpan w:val="6"/>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9"/>
              </w:rPr>
              <w:t>INDEX TO COMBINED FINANCIAL STATEMENTS</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93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auto"/>
              </w:rPr>
              <w:t>Biopharma Company, Inc. Audited Combined Financial Statements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9320" w:type="dxa"/>
            <w:vAlign w:val="bottom"/>
            <w:gridSpan w:val="8"/>
            <w:vMerge w:val="continue"/>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4220" w:type="dxa"/>
            <w:vAlign w:val="bottom"/>
            <w:tcBorders>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5100" w:type="dxa"/>
            <w:vAlign w:val="bottom"/>
            <w:gridSpan w:val="5"/>
          </w:tcPr>
          <w:p>
            <w:pPr>
              <w:spacing w:after="0"/>
              <w:rPr>
                <w:sz w:val="16"/>
                <w:szCs w:val="16"/>
                <w:color w:val="auto"/>
              </w:rPr>
            </w:pPr>
          </w:p>
        </w:tc>
        <w:tc>
          <w:tcPr>
            <w:tcW w:w="16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3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Combined Balance Sheets as of December 31, 2024 and 2023</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3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Combined Statements of Operations and Comprehensive Loss for the Years ended December 31, 2024 and 2023</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9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Combined Statements of Equity for the Years ended December 31, 2024 and 2023</w:t>
            </w:r>
          </w:p>
        </w:tc>
        <w:tc>
          <w:tcPr>
            <w:tcW w:w="2120" w:type="dxa"/>
            <w:vAlign w:val="bottom"/>
            <w:tcBorders>
              <w:top w:val="single" w:sz="8" w:color="0000EE"/>
            </w:tcBorders>
            <w:gridSpan w:val="2"/>
          </w:tcPr>
          <w:p>
            <w:pPr>
              <w:spacing w:after="0"/>
              <w:rPr>
                <w:sz w:val="17"/>
                <w:szCs w:val="17"/>
                <w:color w:val="auto"/>
              </w:rPr>
            </w:pPr>
          </w:p>
        </w:tc>
        <w:tc>
          <w:tcPr>
            <w:tcW w:w="1240" w:type="dxa"/>
            <w:vAlign w:val="bottom"/>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3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Combined Statements of Cash Flows for the Years ended December 31, 2024 and 2023</w:t>
            </w:r>
          </w:p>
        </w:tc>
        <w:tc>
          <w:tcPr>
            <w:tcW w:w="3000" w:type="dxa"/>
            <w:vAlign w:val="bottom"/>
            <w:gridSpan w:val="2"/>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3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Combined Financial Statements</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70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80" w:type="dxa"/>
            <w:vAlign w:val="bottom"/>
            <w:gridSpan w:val="4"/>
          </w:tcPr>
          <w:p>
            <w:pPr>
              <w:jc w:val="center"/>
              <w:ind w:right="2760"/>
              <w:spacing w:after="0"/>
              <w:rPr>
                <w:sz w:val="20"/>
                <w:szCs w:val="20"/>
                <w:color w:val="auto"/>
              </w:rPr>
            </w:pPr>
            <w:r>
              <w:rPr>
                <w:rFonts w:ascii="Times New Roman" w:cs="Times New Roman" w:eastAsia="Times New Roman" w:hAnsi="Times New Roman"/>
                <w:sz w:val="18"/>
                <w:szCs w:val="18"/>
                <w:color w:val="auto"/>
                <w:w w:val="95"/>
              </w:rPr>
              <w:t>F-1</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60"/>
          </w:cols>
          <w:pgMar w:left="320" w:top="446"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AnaptysBio, Inc.:</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Opinion on the Combined Financial Statements</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combined balance sheets of Biopharma Company, Inc. (the Company) as of December 31, 2024 and 2023, the related combined statements of operations and comprehensive loss, equity, and cash flows for each of the years in the two-year period ended December 31, 2024, and the related notes to the combined financial statements. In our opinion, the combined financial statements present fairly, in all material respects, the financial position of the Company as of December 31, 2024 and 2023, and the results of its operations and its cash flows for each of the years in the two-year period ended December 31, 2024, in conformity with U.S. generally accepted accounting principles.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These combined financial statements are the responsibility of the Company’s management. Our responsibility is to express an opinion on these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combined financial statements are free of material misstatement, whether due to error or fraud. 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October 24, 2025</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00"/>
          </w:cols>
          <w:pgMar w:left="320" w:top="455" w:right="57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Biopharma Company,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820" w:type="dxa"/>
            <w:vAlign w:val="bottom"/>
            <w:tcBorders>
              <w:bottom w:val="single" w:sz="8" w:color="CCEEFF"/>
            </w:tcBorders>
          </w:tcPr>
          <w:p>
            <w:pPr>
              <w:spacing w:after="0"/>
              <w:rPr>
                <w:sz w:val="15"/>
                <w:szCs w:val="15"/>
                <w:color w:val="auto"/>
              </w:rPr>
            </w:pPr>
          </w:p>
        </w:tc>
        <w:tc>
          <w:tcPr>
            <w:tcW w:w="49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r>
      <w:tr>
        <w:trPr>
          <w:trHeight w:val="196"/>
        </w:trPr>
        <w:tc>
          <w:tcPr>
            <w:tcW w:w="3820" w:type="dxa"/>
            <w:vAlign w:val="bottom"/>
            <w:shd w:val="clear" w:color="auto" w:fill="CCEEFF"/>
          </w:tcPr>
          <w:p>
            <w:pPr>
              <w:spacing w:after="0"/>
              <w:rPr>
                <w:sz w:val="17"/>
                <w:szCs w:val="17"/>
                <w:color w:val="auto"/>
              </w:rPr>
            </w:pPr>
          </w:p>
        </w:tc>
        <w:tc>
          <w:tcPr>
            <w:tcW w:w="4920" w:type="dxa"/>
            <w:vAlign w:val="bottom"/>
            <w:shd w:val="clear" w:color="auto" w:fill="CCEEFF"/>
          </w:tcPr>
          <w:p>
            <w:pPr>
              <w:jc w:val="center"/>
              <w:ind w:right="1570"/>
              <w:spacing w:after="0" w:line="196"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100" w:type="dxa"/>
            <w:vAlign w:val="bottom"/>
            <w:gridSpan w:val="2"/>
            <w:shd w:val="clear" w:color="auto" w:fill="CCEEFF"/>
          </w:tcPr>
          <w:p>
            <w:pPr>
              <w:ind w:left="49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123,080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35,965</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262,293</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354,939</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4,560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7,651</w:t>
            </w:r>
          </w:p>
        </w:tc>
      </w:tr>
      <w:tr>
        <w:trPr>
          <w:trHeight w:val="223"/>
        </w:trPr>
        <w:tc>
          <w:tcPr>
            <w:tcW w:w="3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49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389,933</w:t>
            </w: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398,555</w:t>
            </w:r>
          </w:p>
        </w:tc>
        <w:tc>
          <w:tcPr>
            <w:tcW w:w="120" w:type="dxa"/>
            <w:vAlign w:val="bottom"/>
          </w:tcPr>
          <w:p>
            <w:pPr>
              <w:spacing w:after="0"/>
              <w:rPr>
                <w:sz w:val="19"/>
                <w:szCs w:val="19"/>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1,849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2,098</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14,383</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16,174</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4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35,470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27,026</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256</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w:t>
            </w:r>
          </w:p>
        </w:tc>
      </w:tr>
      <w:tr>
        <w:trPr>
          <w:trHeight w:val="27"/>
        </w:trPr>
        <w:tc>
          <w:tcPr>
            <w:tcW w:w="38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4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441,891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444,109</w:t>
            </w:r>
          </w:p>
        </w:tc>
      </w:tr>
      <w:tr>
        <w:trPr>
          <w:trHeight w:val="20"/>
        </w:trPr>
        <w:tc>
          <w:tcPr>
            <w:tcW w:w="38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3820" w:type="dxa"/>
            <w:vAlign w:val="bottom"/>
          </w:tcPr>
          <w:p>
            <w:pPr>
              <w:spacing w:after="0"/>
              <w:rPr>
                <w:sz w:val="18"/>
                <w:szCs w:val="18"/>
                <w:color w:val="auto"/>
              </w:rPr>
            </w:pPr>
          </w:p>
        </w:tc>
        <w:tc>
          <w:tcPr>
            <w:tcW w:w="492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9"/>
              </w:rPr>
              <w:t>LIABILITIES AND EQUITY</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100" w:type="dxa"/>
            <w:vAlign w:val="bottom"/>
            <w:gridSpan w:val="2"/>
          </w:tcPr>
          <w:p>
            <w:pPr>
              <w:ind w:left="49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3,785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2,425</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4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30,473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14,021</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1,925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1,777</w:t>
            </w:r>
          </w:p>
        </w:tc>
      </w:tr>
      <w:tr>
        <w:trPr>
          <w:trHeight w:val="27"/>
        </w:trPr>
        <w:tc>
          <w:tcPr>
            <w:tcW w:w="38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36,183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18,223</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14,112</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16,037</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4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Net Parent Investment</w:t>
            </w:r>
          </w:p>
        </w:tc>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391,291</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410,646</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4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(797)</w:t>
            </w:r>
          </w:p>
        </w:tc>
      </w:tr>
      <w:tr>
        <w:trPr>
          <w:trHeight w:val="230"/>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49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391,596</w:t>
            </w:r>
          </w:p>
        </w:tc>
        <w:tc>
          <w:tcPr>
            <w:tcW w:w="4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409,849</w:t>
            </w:r>
          </w:p>
        </w:tc>
        <w:tc>
          <w:tcPr>
            <w:tcW w:w="120" w:type="dxa"/>
            <w:vAlign w:val="bottom"/>
          </w:tcPr>
          <w:p>
            <w:pPr>
              <w:spacing w:after="0"/>
              <w:rPr>
                <w:sz w:val="20"/>
                <w:szCs w:val="20"/>
                <w:color w:val="auto"/>
              </w:rPr>
            </w:pPr>
          </w:p>
        </w:tc>
      </w:tr>
      <w:tr>
        <w:trPr>
          <w:trHeight w:val="216"/>
        </w:trPr>
        <w:tc>
          <w:tcPr>
            <w:tcW w:w="3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5100" w:type="dxa"/>
            <w:vAlign w:val="bottom"/>
            <w:gridSpan w:val="2"/>
            <w:shd w:val="clear" w:color="auto" w:fill="CCEEFF"/>
          </w:tcPr>
          <w:p>
            <w:pPr>
              <w:ind w:left="49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441,891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444,109</w:t>
            </w:r>
          </w:p>
        </w:tc>
      </w:tr>
      <w:tr>
        <w:trPr>
          <w:trHeight w:val="20"/>
        </w:trPr>
        <w:tc>
          <w:tcPr>
            <w:tcW w:w="38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Biopharma Company,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88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0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152,345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90,255</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28,756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20,867</w:t>
            </w:r>
          </w:p>
        </w:tc>
      </w:tr>
      <w:tr>
        <w:trPr>
          <w:trHeight w:val="223"/>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120" w:type="dxa"/>
            <w:vAlign w:val="bottom"/>
          </w:tcPr>
          <w:p>
            <w:pPr>
              <w:spacing w:after="0"/>
              <w:rPr>
                <w:sz w:val="19"/>
                <w:szCs w:val="19"/>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181,101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118,461</w:t>
            </w:r>
          </w:p>
        </w:tc>
      </w:tr>
      <w:tr>
        <w:trPr>
          <w:trHeight w:val="230"/>
        </w:trPr>
        <w:tc>
          <w:tcPr>
            <w:tcW w:w="90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(181,101)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(118,461)</w:t>
            </w:r>
          </w:p>
        </w:tc>
        <w:tc>
          <w:tcPr>
            <w:tcW w:w="120" w:type="dxa"/>
            <w:vAlign w:val="bottom"/>
          </w:tcPr>
          <w:p>
            <w:pPr>
              <w:spacing w:after="0"/>
              <w:rPr>
                <w:sz w:val="20"/>
                <w:szCs w:val="20"/>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12,313</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90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other income, net</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12,311</w:t>
            </w:r>
          </w:p>
        </w:tc>
        <w:tc>
          <w:tcPr>
            <w:tcW w:w="120" w:type="dxa"/>
            <w:vAlign w:val="bottom"/>
          </w:tcPr>
          <w:p>
            <w:pPr>
              <w:spacing w:after="0"/>
              <w:rPr>
                <w:sz w:val="20"/>
                <w:szCs w:val="20"/>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(163,705)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(106,150)</w:t>
            </w:r>
          </w:p>
        </w:tc>
      </w:tr>
      <w:tr>
        <w:trPr>
          <w:trHeight w:val="230"/>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available for sale securities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120" w:type="dxa"/>
            <w:vAlign w:val="bottom"/>
          </w:tcPr>
          <w:p>
            <w:pPr>
              <w:spacing w:after="0"/>
              <w:rPr>
                <w:sz w:val="20"/>
                <w:szCs w:val="20"/>
                <w:color w:val="auto"/>
              </w:rPr>
            </w:pPr>
          </w:p>
        </w:tc>
      </w:tr>
      <w:tr>
        <w:trPr>
          <w:trHeight w:val="216"/>
        </w:trPr>
        <w:tc>
          <w:tcPr>
            <w:tcW w:w="90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(162,603)</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(101,701)</w:t>
            </w: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Biopharma Company,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Net Parent</w:t>
            </w:r>
          </w:p>
        </w:tc>
        <w:tc>
          <w:tcPr>
            <w:tcW w:w="12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 Gain</w:t>
            </w:r>
          </w:p>
        </w:tc>
        <w:tc>
          <w:tcPr>
            <w:tcW w:w="22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24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$ 585,496</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$ 580,250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7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18,393</w:t>
            </w:r>
          </w:p>
        </w:tc>
        <w:tc>
          <w:tcPr>
            <w:tcW w:w="120" w:type="dxa"/>
            <w:vAlign w:val="bottom"/>
          </w:tcPr>
          <w:p>
            <w:pPr>
              <w:spacing w:after="0"/>
              <w:rPr>
                <w:sz w:val="18"/>
                <w:szCs w:val="18"/>
                <w:color w:val="auto"/>
              </w:rPr>
            </w:pPr>
          </w:p>
        </w:tc>
        <w:tc>
          <w:tcPr>
            <w:tcW w:w="11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18,393</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Parent Investment</w:t>
            </w:r>
          </w:p>
        </w:tc>
        <w:tc>
          <w:tcPr>
            <w:tcW w:w="3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(87,093)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(87,093)</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4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4,449</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4,449</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(106,150)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(106,150)</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24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$ 410,646</w:t>
            </w:r>
          </w:p>
        </w:tc>
        <w:tc>
          <w:tcPr>
            <w:tcW w:w="50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$ 409,849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7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26,827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26,827</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Parent Investment</w:t>
            </w:r>
          </w:p>
        </w:tc>
        <w:tc>
          <w:tcPr>
            <w:tcW w:w="37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117,523</w:t>
            </w:r>
          </w:p>
        </w:tc>
        <w:tc>
          <w:tcPr>
            <w:tcW w:w="120" w:type="dxa"/>
            <w:vAlign w:val="bottom"/>
          </w:tcPr>
          <w:p>
            <w:pPr>
              <w:spacing w:after="0"/>
              <w:rPr>
                <w:sz w:val="18"/>
                <w:szCs w:val="18"/>
                <w:color w:val="auto"/>
              </w:rPr>
            </w:pPr>
          </w:p>
        </w:tc>
        <w:tc>
          <w:tcPr>
            <w:tcW w:w="11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117,523</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1,102</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(163,705)</w:t>
            </w:r>
          </w:p>
        </w:tc>
        <w:tc>
          <w:tcPr>
            <w:tcW w:w="120" w:type="dxa"/>
            <w:vAlign w:val="bottom"/>
          </w:tcPr>
          <w:p>
            <w:pPr>
              <w:spacing w:after="0"/>
              <w:rPr>
                <w:sz w:val="18"/>
                <w:szCs w:val="18"/>
                <w:color w:val="auto"/>
              </w:rPr>
            </w:pPr>
          </w:p>
        </w:tc>
        <w:tc>
          <w:tcPr>
            <w:tcW w:w="11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(163,705)</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37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$ 391,291</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305</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$ 391,596</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Biopharma Company,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Cash Flows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190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9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10"/>
        </w:trPr>
        <w:tc>
          <w:tcPr>
            <w:tcW w:w="90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(163,705)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(106,150)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26,827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18,393</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Accretion/amortization of investments, net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(10,521)</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right-of-use assets – operating</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1,724</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(3,857)</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8,391</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30"/>
        </w:trPr>
        <w:tc>
          <w:tcPr>
            <w:tcW w:w="90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(125,806)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investments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(380,376)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(303,919)</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476,132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449,480</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95,398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144,754</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parent investment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117,523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(87,093)</w:t>
            </w:r>
          </w:p>
        </w:tc>
        <w:tc>
          <w:tcPr>
            <w:tcW w:w="0" w:type="dxa"/>
            <w:vAlign w:val="bottom"/>
          </w:tcPr>
          <w:p>
            <w:pPr>
              <w:spacing w:after="0"/>
              <w:rPr>
                <w:sz w:val="1"/>
                <w:szCs w:val="1"/>
                <w:color w:val="auto"/>
              </w:rPr>
            </w:pPr>
          </w:p>
        </w:tc>
      </w:tr>
      <w:tr>
        <w:trPr>
          <w:trHeight w:val="230"/>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87,115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(35,343)</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35,965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71,308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123,080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35,965</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Amounts accrued for property and equipment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Biopharma Company,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Biopharma Company, Inc. (“we,” “us,” “our,” or the “Company”) is a clinical-stage biotechnology company focused on delivering innovative immunology therapeutics for autoimmune and inflammatory diseases. Our clinical-stage pipeline includes rosnilimab, a selective and potent pathogenic T cell depleter that completed a Phase 2b trial for the treatment of moderate-to-severe rheumatoid arthritis (“RA”), ANB033, a CD122 antagonist in a Phase 1b trial for celiac disease (“CeD”) and eosinophilic esophagitis (“EoE”). Additionally, ANB101, a BDCA2 modulator, in a Phase 1a trial.</w:t>
      </w:r>
    </w:p>
    <w:p>
      <w:pPr>
        <w:spacing w:after="0" w:line="164"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Our management believes our currently available resources will provide sufficient funds to enable us to meet our operating plans for at least the next 24 months from the issuance of our combined financial statements. The accompanying combined financial statements do not include any adjustments that might be necessary if we are unable to continue as a going concern.</w:t>
      </w:r>
    </w:p>
    <w:p>
      <w:pPr>
        <w:spacing w:after="0" w:line="2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Separation</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financial support has been provided primarily by AnaptysBio, Inc., our parent company. In September 2025, AnaptysBio, Inc. announced its intent, as approved by its board of directors on September 29, 2025, to separate Biopharma Company, Inc.’s operations from substantial royalty assets. To implement the separation, AnaptysBio, Inc., intends to transfer the related assets, liabilities, license agreements, intellectual property and corporate infrastructure, including employment agreements and other corporate agreements of those portfolio programs, or the Business, to Biopharma Company, Inc. pursuant to the terms of a separation agreement, to be entered into between Biopharma Company, Inc. and AnaptysBio, Inc. in connection with the separation.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Following the spin-off, Biopharma Company, Inc. will operate as a separate, independent, publicly traded company.</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accompanying combined financial statements present, on a historical basis, the combined assets, liabilities, expenses and cash flows directly attributable to the Biopharma Company, Inc. which have been prepared from AnaptysBio, Inc.’s consolidated financial statements and accounting records and are presented on a stand-alone basis as if the operations have been conducted independently from AnaptysBio, Inc. Historically, separate financial statements have not been prepared for Biopharma Company, Inc. and it has not operated as a standalone business.</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During the periods presented, the Company was not a separate legal entity and did not directly own the Australian subsidiary, which was legally owned by AnaptysBio, Inc. The portions of the Australian subsidiary’s assets, liabilities, income, expenses and cash flows related to the Company’s business are included in these combined financial statements.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operate in one reportable segment, and our functional and reporting currency is the U.S. dollar.</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080"/>
          </w:cols>
          <w:pgMar w:left="320" w:top="455" w:right="4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preparation of the accompanying combined financial statements in conformity with accounting principles generally accepted in the United States of America (“U.S. GAAP”) requires our management to make estimates and assumptions that affect the reported amounts of assets and liabilities, disclosure of contingent assets and liabilities at the date of the financial statements, and reported amounts of expenses during the reporting periods. Actual results could differ from those estimates. We base our estimates and assumptions on historical experience when available and on various factors that we believe to be reasonable under the circumstances. Significant estimates relied upon in preparing these financial statements include estimates related to accrued research and development expenses and stock-based compensation. We evaluate our estimates and assumptions on an ongoing basis. Our actual results could differ from these estimates under different assumptions or conditions.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consider all highly liquid investments with a maturity at date of purchase of three months or less to be cash equivalents. Cash equivalents consist primarily of money market and mutual funds with original maturities of 90 days or less.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Short-Term and Long-Term Investments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All investments have been classified as “available-for-sale” and are carried at fair value as determined based upon quoted market prices or pricing models for similar securities at period end. Investments with contractual maturities less than 12 months at the balance sheet date are considered short-term investments. Those investments with contractual maturities 12 months or greater at the balance sheet date are considered long-term investments. Dividend and interest income are recognized when earned. Realized gains and losses are included in earnings and are derived using the specific identification method for determining the cost of securities sold. Unrealized gains and losses are reported as a component of accumulated other comprehensive income (loss). We review our portfolio of available-for-sale debt securities, using both quantitative and qualitative factors, to determine if declines in fair value below cost have resulted from a credit-related loss or other factors. If the decline in fair value is due to credit-related factors, a loss is recognized in net income, whereas if the decline in fair value is not due to credit-related factors, the loss is recorded in other comprehensive income (loss). No credit impairment losses have been recorded during the years ended December 31, 2024 or 2023.</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us to a concentration of credit risk consist of cash and cash equivalents and certain investments in money market funds, certificates of deposit, agency securities, commercial obligations and U.S. Treasury securities. Bank deposits are diversified between three financial institutions and these deposits may exceed insured limits. We are exposed to credit risk in the event of default by the financial institutions holding our cash and cash equivalents and issuers of investments that are recorded on our combined balance sheets. We mitigate our risk by investing in high-grade instruments and limiting the concentration in any one issuer, which limits our exposure.</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Expenditures for major additions and betterments are capitalized. Maintenance and repairs are charged to operations as incurred. Depreciation and amortization are calculated using the straight-line method over the estimated useful lives of the assets, which range from three to seven years. Leasehold improvements are amortized using the straight-line method over the term of the lease. Upon sale or retirement of property and equipment, the related cost and accumulated depreciation are removed from the accounts and any gain or loss is reflected in operations.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080"/>
          </w:cols>
          <w:pgMar w:left="320" w:top="455" w:right="4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Long Lived Assets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Long-lived assets, consisting of property and equipment, are reviewed for impairment whenever events or changes in circumstances indicate that the carrying value of an asset may not be recoverable. If circumstances require a long-lived asset or asset group to be tested for possible impairment, we first compare undiscounted cash flows expected to be generated by the asset or asset group to its carrying amount. If the carrying amount of the long-lived asset or asset group is not recoverable on an undiscounted cash flow basis, an impairment loss is recognized and is measured as the amount by which the carrying value exceeds the estimated fair value of the assets. No impairment charges were recorded during the years ended December 31, 2024, or 2023.</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leases consist of a lease for office and lab space that is classified as an operating lease. We determine if an arrangement is a lease at inception. Rent expense is recognized on a straight-line basis. When an operating lease includes rent abatements or requires fixed escalations of the minimum lease payments, the aggregate rental expense is recognized on a straight-line basis over the term of the lease. When an operating lease includes lease incentives such as leasehold improvement allowances, the lease incentive is included in the right-of-use asset (the “ROU asset”). For leases that have greater than a 12-month lease term, the ROU assets and lease liabilities are recognized based on the present value of the future minimum unpaid lease payments over the lease term. For this purpose, we consider only payments that are fixed and determinable at the time of commencement.</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our lease does not provide an implicit rate, we use our incremental borrowing rate based on the information available at commencement date in determining the present value of future payments. We account for fixed lease components separately from non-lease components.</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elected the practical expedient to not record leases with an initial term of 12 months or less on the balance sheet and recognize the associated lease payments in the combined statements of operations on a straight-line basis over the lease term.</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Research and development costs primarily include third party clinical and preclinical research and development services such as manufacturing, laboratory and related supplies, salaries and personnel-related costs, in-licensing fees, outside services, and an allocation of information technology, and facility overhead costs.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Costs associated with research and development activities are expensed as incurred. We account for nonrefundable advance payments for goods and services that will be used in future research and development activities as expense when the service has been performed or when the goods have been received. We estimate research and development costs incurred during the period, which impacts the amount of accrued expenses and prepaid balances related to such costs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9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Upfront and milestone payments incurred under our in-licensing agreements are expensed as research and development in the period in which they are incurred, provided that the technology or method has no alternative future use.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Acquired in-process research and development costs consist of upfront payments incurred in connection with the acquisition of licensing of products or technologies that do not meet the definition of a business under the Accounting Standards of Codification (“ASC”)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19"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establishes standards for companies to report financial statement information about operating segments. Operating segments are defined as components of an enterprise engaging in business activities for which separate financial information is available that is regularly evaluated by the company’s chief operating decision-makers in deciding how to allocate resources and assess performance. Our chief operating decision maker (“CODM”) has been identified as the Chief Executive Officer, who reviews results at a combined level only. Therefore, we determined we operate as one reportable segment focused on research and development activities to deliver immunology therapeutics for autoimmune and inflammatory diseases.</w:t>
      </w:r>
    </w:p>
    <w:p>
      <w:pPr>
        <w:spacing w:after="0" w:line="2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Under this method, deferred tax assets and liabilities are determined based on differences between financial reporting and tax basis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recognize an uncertain tax position in our combined financial statements when we conclude that a tax position is more likely than not to be sustained upon examination based solely on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We have elected to accrue any interest or penalties related to income taxes as part of our income tax expense.</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employees participate in AnaptysBio, Inc.’s share-based compensation plans, the costs of which have been allocated to Biopharma Company, Inc. and recorded in research and development and general and administrative expenses in the combined statements of operations. Refer to Note 7 for additional information.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Functional Currency of Foreign Operations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Our Australian subsidiary operates in a U.S. dollar functional currency environment.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combined statements of operations.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00"/>
          </w:cols>
          <w:pgMar w:left="320" w:top="455" w:right="47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Comprehensive loss represents all changes in equity except those resulting from distributions to stockholders. Our unrealized gains and losses on available for-sale investments represent the only component of other comprehensive loss that is excluded from the reported net loss.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implemented all new accounting pronouncements that are in effect and may have an impact on our combined financial statements. Unless otherwise discussed, we believe the impact of any recently issued pronouncements, not yet effective will not have a material impact on our combined financial statements.</w:t>
      </w:r>
    </w:p>
    <w:p>
      <w:pPr>
        <w:spacing w:after="0" w:line="17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 Update (“ASU”) 2023-07,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(Topic 280): Improvements to Reportable Segment Disclosures</w:t>
      </w:r>
      <w:r>
        <w:rPr>
          <w:rFonts w:ascii="Times New Roman" w:cs="Times New Roman" w:eastAsia="Times New Roman" w:hAnsi="Times New Roman"/>
          <w:sz w:val="18"/>
          <w:szCs w:val="18"/>
          <w:color w:val="auto"/>
        </w:rPr>
        <w:t>, which requires enhanced disclosure of significant segment expenses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regularly provided to the CODM and included within each reported measure of segment profit or loss on an annual and interim basis and should be applied retrospectively to all prior periods presented in the financial statements. We adopted this standard retrospectively on December 31, 2024. For the purpose of the adoption of ASU 2023-07, we performed an evaluation of financial information regularly reviewed by the CODM for purposes of evaluating performance and allocating resources. Financial information provided to and used by the CODM is consistent with our combined GAAP financial statements including our combined Statements of Operations, see Note 10.</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3. Balance Sheet Accounts and Supplemental Disclosures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5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3"/>
                <w:szCs w:val="13"/>
                <w:color w:val="auto"/>
              </w:rPr>
            </w:pPr>
          </w:p>
        </w:tc>
        <w:tc>
          <w:tcPr>
            <w:tcW w:w="17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5020" w:type="dxa"/>
            <w:vAlign w:val="bottom"/>
            <w:vMerge w:val="continue"/>
          </w:tcPr>
          <w:p>
            <w:pPr>
              <w:spacing w:after="0"/>
              <w:rPr>
                <w:sz w:val="15"/>
                <w:szCs w:val="15"/>
                <w:color w:val="auto"/>
              </w:rPr>
            </w:pPr>
          </w:p>
        </w:tc>
        <w:tc>
          <w:tcPr>
            <w:tcW w:w="1500" w:type="dxa"/>
            <w:vAlign w:val="bottom"/>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1,530</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6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(6,599)</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(6,218)</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6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90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5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24"/>
                <w:szCs w:val="24"/>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5020" w:type="dxa"/>
            <w:vAlign w:val="bottom"/>
            <w:tcBorders>
              <w:bottom w:val="single" w:sz="8" w:color="CCEEFF"/>
            </w:tcBorders>
            <w:vMerge w:val="continue"/>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8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 and other expenses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737</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research, development and manufacturing expenses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22,317</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8,439</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expenses</w:t>
            </w:r>
          </w:p>
        </w:tc>
        <w:tc>
          <w:tcPr>
            <w:tcW w:w="86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30,473</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14,021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4. Collaborative Research and Development Agreements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Centessa</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On November 24, 2023, we entered into an exclusive license agreement (as amended, the “Centessa Agreement”) with Centessa Pharmaceuticals (UK) Limited (“Centessa”), pursuant to which we acquired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40"/>
          </w:cols>
          <w:pgMar w:left="320" w:top="455" w:right="4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exclusive global development and commercialization rights to a blood dendritic cell antigen 2 (BDCA2) modulator antibody portfolio, including lead asset CBS004 (renamed ANB101), and the related family of antibodies, for the treatment of autoimmune and inflammatory diseases.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Centessa Agreement, we paid Centessa an upfront cash payment of $4.0 million and an additional cash payment of</w:t>
      </w:r>
    </w:p>
    <w:p>
      <w:pPr>
        <w:spacing w:after="0" w:line="27" w:lineRule="exact"/>
        <w:rPr>
          <w:sz w:val="20"/>
          <w:szCs w:val="20"/>
          <w:color w:val="auto"/>
        </w:rPr>
      </w:pPr>
    </w:p>
    <w:p>
      <w:pPr>
        <w:jc w:val="both"/>
        <w:ind w:left="120" w:right="80"/>
        <w:spacing w:after="0" w:line="255" w:lineRule="auto"/>
        <w:rPr>
          <w:sz w:val="20"/>
          <w:szCs w:val="20"/>
          <w:color w:val="auto"/>
        </w:rPr>
      </w:pPr>
      <w:r>
        <w:rPr>
          <w:rFonts w:ascii="Times New Roman" w:cs="Times New Roman" w:eastAsia="Times New Roman" w:hAnsi="Times New Roman"/>
          <w:sz w:val="18"/>
          <w:szCs w:val="18"/>
          <w:color w:val="auto"/>
        </w:rPr>
        <w:t>$3.0 million as reimbursement to Centessa for manufacturing costs incurred. There were $0.3 million in transaction costs incurred. The total transaction amount of $7.3 million was expensed as in-process research and development and classified as an operating activity in the statement of cash flows. We accounted for the transaction as an asset acquisition as the set of acquired assets did not constitute a business.</w:t>
      </w:r>
    </w:p>
    <w:p>
      <w:pPr>
        <w:spacing w:after="0" w:line="18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the agreement, Centessa may be entitled to receive potential future payments of up to $10.0 million upon the achievement of a certain event-based milestone and would be entitled to receive on a product-by-product and country-by-country basis, a royalty of low single digits on annual net sales of any product in the territory in each calendar year. As of December 31, 2024, achievement of the milestone is not probable and, therefore, we have not recognized a liability for the associated $10.0 million contingent consideration.</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5. Related Party Transactions</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have historically operated as part of AnaptysBio, Inc. and not as a standalone entity. Accordingly, the accompanying combined financial statements are derived from the consolidated financial statements and accounting records of AnaptysBio, Inc.</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 Allocations</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combined financial statements reflect allocations of certain expenses from the financial statements of AnaptysBio, Inc., including research and development expenses and administrative expenses. These allocations include, but are not limited to, executive management, employee compensation and benefits, facilities and operations, information technology, business development, financial services (such as accounting, audit, and tax), legal, insurance, and stock-based compensation.</w:t>
      </w:r>
    </w:p>
    <w:p>
      <w:pPr>
        <w:spacing w:after="0" w:line="180" w:lineRule="exact"/>
        <w:rPr>
          <w:sz w:val="20"/>
          <w:szCs w:val="20"/>
          <w:color w:val="auto"/>
        </w:rPr>
      </w:pPr>
    </w:p>
    <w:p>
      <w:pPr>
        <w:jc w:val="both"/>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Internal research and development costs that could not be specifically identified were allocated to the program level using the percentage of external research and development costs as the allocation driver. General and administrative expenses were allocated similarly to the allocation of internal research and development costs, with a portion allocated based on estimated employee headcount.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allocations are reflected in the combined statements of operations as follows: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years ended December 31, 2024 and 2023, transactions with AnaptysBio, Inc. were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8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860" w:type="dxa"/>
            <w:vAlign w:val="bottom"/>
            <w:gridSpan w:val="2"/>
          </w:tcPr>
          <w:p>
            <w:pPr>
              <w:jc w:val="center"/>
              <w:ind w:left="1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1"/>
              </w:rPr>
              <w:t>$ 42,662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$ 22,002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8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28,756</w:t>
            </w:r>
          </w:p>
        </w:tc>
        <w:tc>
          <w:tcPr>
            <w:tcW w:w="920" w:type="dxa"/>
            <w:vAlign w:val="bottom"/>
            <w:gridSpan w:val="3"/>
          </w:tcPr>
          <w:p>
            <w:pPr>
              <w:jc w:val="center"/>
              <w:ind w:left="96"/>
              <w:spacing w:after="0"/>
              <w:rPr>
                <w:sz w:val="20"/>
                <w:szCs w:val="20"/>
                <w:color w:val="auto"/>
              </w:rPr>
            </w:pPr>
            <w:r>
              <w:rPr>
                <w:rFonts w:ascii="Times New Roman" w:cs="Times New Roman" w:eastAsia="Times New Roman" w:hAnsi="Times New Roman"/>
                <w:sz w:val="18"/>
                <w:szCs w:val="18"/>
                <w:color w:val="auto"/>
                <w:w w:val="98"/>
              </w:rPr>
              <w:t>$ 20,867</w:t>
            </w:r>
          </w:p>
        </w:tc>
      </w:tr>
      <w:tr>
        <w:trPr>
          <w:trHeight w:val="27"/>
        </w:trPr>
        <w:tc>
          <w:tcPr>
            <w:tcW w:w="47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allocated operating expenses</w:t>
            </w:r>
          </w:p>
        </w:tc>
        <w:tc>
          <w:tcPr>
            <w:tcW w:w="18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71,418</w:t>
            </w:r>
          </w:p>
        </w:tc>
        <w:tc>
          <w:tcPr>
            <w:tcW w:w="920" w:type="dxa"/>
            <w:vAlign w:val="bottom"/>
            <w:gridSpan w:val="3"/>
            <w:shd w:val="clear" w:color="auto" w:fill="CCEEFF"/>
          </w:tcPr>
          <w:p>
            <w:pPr>
              <w:jc w:val="center"/>
              <w:ind w:left="96"/>
              <w:spacing w:after="0"/>
              <w:rPr>
                <w:sz w:val="20"/>
                <w:szCs w:val="20"/>
                <w:color w:val="auto"/>
              </w:rPr>
            </w:pPr>
            <w:r>
              <w:rPr>
                <w:rFonts w:ascii="Times New Roman" w:cs="Times New Roman" w:eastAsia="Times New Roman" w:hAnsi="Times New Roman"/>
                <w:sz w:val="18"/>
                <w:szCs w:val="18"/>
                <w:color w:val="auto"/>
                <w:w w:val="98"/>
              </w:rPr>
              <w:t>$ 42,869</w:t>
            </w:r>
          </w:p>
        </w:tc>
      </w:tr>
      <w:tr>
        <w:trPr>
          <w:trHeight w:val="20"/>
        </w:trPr>
        <w:tc>
          <w:tcPr>
            <w:tcW w:w="4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The combined financial statements reflect allocations of certain assets and liabilities from the financial statements of AnaptysBio, Inc. These allocations include, but are not limited to, prepaid expenses and other current assets, accounts payable, accrued expenses, and accumulated deficit. Amounts that could not be specifically identified were allocated using the percentage of external research and development costs as the allocation driver.</w:t>
      </w:r>
    </w:p>
    <w:p>
      <w:pPr>
        <w:spacing w:after="0" w:line="158"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Management believes these cost allocation methods are reasonable and reflect the services provided to Biopharma Company, Inc. during the periods presented. The allocations may not, however, be indicative of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actual expenses that would have been incurred had Biopharma Company, Inc. operated as a standalone public company. Actual costs that may have been incurred if Biopharma Company, Inc. had been a standalone public company would depend on a number of factors, including the organizational structure, whether functions were outsourced or performed by Biopharma Company, Inc. employees, and decisions made in areas such as research and development, infrastructure, and information technology.</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from AnaptysBio, Inc.</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Related party transactions between Biopharma Company, Inc. and AnaptysBio, Inc. have been included within net parent investment in the combined balance sheets in the historical periods presented as these related party transactions were not settled in cash. Net parent investment in the combined balance sheets and combined statements of equity represents AnaptysBio, Inc.’s investment in Biopharma Company, Inc., and the net effect of transactions with, and allocations from AnaptysBio, Inc. The components of net transfers from AnaptysBio, Inc. and the reconciliation to the corresponding amount presented on the combined statements of cash flows were as follows: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8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5"/>
                <w:szCs w:val="15"/>
                <w:color w:val="auto"/>
              </w:rPr>
            </w:pP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Allocations of AnaptysBio, Inc.’s corporate expenses</w:t>
            </w:r>
          </w:p>
        </w:tc>
        <w:tc>
          <w:tcPr>
            <w:tcW w:w="1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$117,523</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$(87,093)</w:t>
            </w:r>
          </w:p>
        </w:tc>
        <w:tc>
          <w:tcPr>
            <w:tcW w:w="120" w:type="dxa"/>
            <w:vAlign w:val="bottom"/>
            <w:tcBorders>
              <w:top w:val="single" w:sz="8" w:color="CCEEFF"/>
            </w:tcBorders>
            <w:shd w:val="clear" w:color="auto" w:fill="CCEEFF"/>
          </w:tcPr>
          <w:p>
            <w:pPr>
              <w:spacing w:after="0"/>
              <w:rPr>
                <w:sz w:val="18"/>
                <w:szCs w:val="18"/>
                <w:color w:val="auto"/>
              </w:rPr>
            </w:pPr>
          </w:p>
        </w:tc>
      </w:tr>
    </w:tbl>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6. Fair Value Measurements and Available for Sale Investments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financial instruments consist principally of cash, cash equivalents, short-term and long-term investments, receivables, and accounts payable. Certain of our financial assets and liabilities have been recorded at fair value in the combined balance sheet in accordance with the accounting standards for fair value measurements.</w:t>
      </w:r>
    </w:p>
    <w:p>
      <w:pPr>
        <w:spacing w:after="0" w:line="176"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1—Observable inputs that reflect quoted prices (unadjusted) for identical assets or liabilities in active markets.</w:t>
      </w:r>
    </w:p>
    <w:p>
      <w:pPr>
        <w:spacing w:after="0" w:line="225"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76" w:lineRule="exact"/>
        <w:rPr>
          <w:sz w:val="20"/>
          <w:szCs w:val="20"/>
          <w:color w:val="auto"/>
        </w:rPr>
      </w:pPr>
    </w:p>
    <w:p>
      <w:pPr>
        <w:jc w:val="center"/>
        <w:ind w:left="600" w:right="280"/>
        <w:spacing w:after="0" w:line="454" w:lineRule="auto"/>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activities, therefore requiring an entity to develop its own assumptions. F-13</w:t>
      </w:r>
    </w:p>
    <w:p>
      <w:pPr>
        <w:sectPr>
          <w:pgSz w:w="11900" w:h="16838" w:orient="portrait"/>
          <w:cols w:equalWidth="0" w:num="1">
            <w:col w:w="11100"/>
          </w:cols>
          <w:pgMar w:left="320" w:top="455" w:right="47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assets and liabilities that require fair value measurements on a recurring basis and their respective input levels based on the fair value hierarchy:</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8"/>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Fair Value Measurements at End of Period Using:</w:t>
            </w:r>
          </w:p>
        </w:tc>
        <w:tc>
          <w:tcPr>
            <w:tcW w:w="5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340" w:type="dxa"/>
            <w:vAlign w:val="bottom"/>
          </w:tcPr>
          <w:p>
            <w:pPr>
              <w:spacing w:after="0"/>
              <w:rPr>
                <w:sz w:val="10"/>
                <w:szCs w:val="10"/>
                <w:color w:val="auto"/>
              </w:rPr>
            </w:pPr>
          </w:p>
        </w:tc>
        <w:tc>
          <w:tcPr>
            <w:tcW w:w="1380" w:type="dxa"/>
            <w:vAlign w:val="bottom"/>
            <w:gridSpan w:val="3"/>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3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90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Prices for</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54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340" w:type="dxa"/>
            <w:vAlign w:val="bottom"/>
          </w:tcPr>
          <w:p>
            <w:pPr>
              <w:spacing w:after="0"/>
              <w:rPr>
                <w:sz w:val="12"/>
                <w:szCs w:val="12"/>
                <w:color w:val="auto"/>
              </w:rPr>
            </w:pPr>
          </w:p>
        </w:tc>
        <w:tc>
          <w:tcPr>
            <w:tcW w:w="13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9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020" w:type="dxa"/>
            <w:vAlign w:val="bottom"/>
            <w:gridSpan w:val="3"/>
            <w:vMerge w:val="continue"/>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40" w:type="dxa"/>
            <w:vAlign w:val="bottom"/>
          </w:tcPr>
          <w:p>
            <w:pPr>
              <w:spacing w:after="0"/>
              <w:rPr>
                <w:sz w:val="15"/>
                <w:szCs w:val="15"/>
                <w:color w:val="auto"/>
              </w:rPr>
            </w:pPr>
          </w:p>
        </w:tc>
        <w:tc>
          <w:tcPr>
            <w:tcW w:w="10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At December 31, 2024</w:t>
            </w:r>
          </w:p>
        </w:tc>
        <w:tc>
          <w:tcPr>
            <w:tcW w:w="10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Borders>
              <w:top w:val="single" w:sz="8" w:color="auto"/>
            </w:tcBorders>
          </w:tcPr>
          <w:p>
            <w:pPr>
              <w:spacing w:after="0" w:line="216" w:lineRule="exact"/>
              <w:rPr>
                <w:sz w:val="20"/>
                <w:szCs w:val="20"/>
                <w:color w:val="auto"/>
              </w:rPr>
            </w:pPr>
            <w:r>
              <w:rPr>
                <w:rFonts w:ascii="Times New Roman" w:cs="Times New Roman" w:eastAsia="Times New Roman" w:hAnsi="Times New Roman"/>
                <w:sz w:val="17"/>
                <w:szCs w:val="17"/>
                <w:color w:val="auto"/>
              </w:rPr>
              <w:t>Money market funds</w:t>
            </w:r>
            <w:r>
              <w:rPr>
                <w:rFonts w:ascii="Times New Roman" w:cs="Times New Roman" w:eastAsia="Times New Roman" w:hAnsi="Times New Roman"/>
                <w:sz w:val="25"/>
                <w:szCs w:val="25"/>
                <w:color w:val="auto"/>
                <w:vertAlign w:val="superscript"/>
              </w:rPr>
              <w:t>(1)</w:t>
            </w:r>
          </w:p>
        </w:tc>
        <w:tc>
          <w:tcPr>
            <w:tcW w:w="23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104,553</w:t>
            </w:r>
          </w:p>
        </w:tc>
        <w:tc>
          <w:tcPr>
            <w:tcW w:w="6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104,553</w:t>
            </w:r>
          </w:p>
        </w:tc>
        <w:tc>
          <w:tcPr>
            <w:tcW w:w="4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top w:val="single" w:sz="8" w:color="CCEEFF"/>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Mutual funds</w:t>
            </w:r>
            <w:r>
              <w:rPr>
                <w:rFonts w:ascii="Times New Roman" w:cs="Times New Roman" w:eastAsia="Times New Roman" w:hAnsi="Times New Roman"/>
                <w:sz w:val="25"/>
                <w:szCs w:val="25"/>
                <w:color w:val="auto"/>
                <w:vertAlign w:val="superscript"/>
              </w:rPr>
              <w:t>(1)</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9,376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9,376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U.S. Treasury securities</w:t>
            </w:r>
            <w:r>
              <w:rPr>
                <w:rFonts w:ascii="Times New Roman" w:cs="Times New Roman" w:eastAsia="Times New Roman" w:hAnsi="Times New Roman"/>
                <w:sz w:val="25"/>
                <w:szCs w:val="25"/>
                <w:color w:val="auto"/>
                <w:vertAlign w:val="superscript"/>
              </w:rPr>
              <w:t>(1)(2)</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284,495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284,495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Agency securities</w:t>
            </w:r>
            <w:r>
              <w:rPr>
                <w:rFonts w:ascii="Times New Roman" w:cs="Times New Roman" w:eastAsia="Times New Roman" w:hAnsi="Times New Roman"/>
                <w:sz w:val="25"/>
                <w:szCs w:val="25"/>
                <w:color w:val="auto"/>
                <w:vertAlign w:val="superscript"/>
              </w:rPr>
              <w:t>(2)</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7,579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7,579</w:t>
            </w:r>
          </w:p>
        </w:tc>
        <w:tc>
          <w:tcPr>
            <w:tcW w:w="5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Commercial and corporate obligations</w:t>
            </w:r>
            <w:r>
              <w:rPr>
                <w:rFonts w:ascii="Times New Roman" w:cs="Times New Roman" w:eastAsia="Times New Roman" w:hAnsi="Times New Roman"/>
                <w:sz w:val="25"/>
                <w:szCs w:val="25"/>
                <w:color w:val="auto"/>
                <w:vertAlign w:val="superscript"/>
              </w:rPr>
              <w:t>(2)</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10,652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10,652</w:t>
            </w:r>
          </w:p>
        </w:tc>
        <w:tc>
          <w:tcPr>
            <w:tcW w:w="52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At December 31, 2023</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Borders>
              <w:top w:val="single" w:sz="8" w:color="auto"/>
            </w:tcBorders>
          </w:tcPr>
          <w:p>
            <w:pPr>
              <w:spacing w:after="0" w:line="216" w:lineRule="exact"/>
              <w:rPr>
                <w:sz w:val="20"/>
                <w:szCs w:val="20"/>
                <w:color w:val="auto"/>
              </w:rPr>
            </w:pPr>
            <w:r>
              <w:rPr>
                <w:rFonts w:ascii="Times New Roman" w:cs="Times New Roman" w:eastAsia="Times New Roman" w:hAnsi="Times New Roman"/>
                <w:sz w:val="17"/>
                <w:szCs w:val="17"/>
                <w:color w:val="auto"/>
              </w:rPr>
              <w:t>Money market funds</w:t>
            </w:r>
            <w:r>
              <w:rPr>
                <w:rFonts w:ascii="Times New Roman" w:cs="Times New Roman" w:eastAsia="Times New Roman" w:hAnsi="Times New Roman"/>
                <w:sz w:val="25"/>
                <w:szCs w:val="25"/>
                <w:color w:val="auto"/>
                <w:vertAlign w:val="superscript"/>
              </w:rPr>
              <w:t>(1)</w:t>
            </w:r>
          </w:p>
        </w:tc>
        <w:tc>
          <w:tcPr>
            <w:tcW w:w="23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27,789</w:t>
            </w:r>
          </w:p>
        </w:tc>
        <w:tc>
          <w:tcPr>
            <w:tcW w:w="6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27,789</w:t>
            </w:r>
          </w:p>
        </w:tc>
        <w:tc>
          <w:tcPr>
            <w:tcW w:w="4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top w:val="single" w:sz="8" w:color="CCEEFF"/>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Mutual funds</w:t>
            </w:r>
            <w:r>
              <w:rPr>
                <w:rFonts w:ascii="Times New Roman" w:cs="Times New Roman" w:eastAsia="Times New Roman" w:hAnsi="Times New Roman"/>
                <w:sz w:val="25"/>
                <w:szCs w:val="25"/>
                <w:color w:val="auto"/>
                <w:vertAlign w:val="superscript"/>
              </w:rPr>
              <w:t>(1)</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6,286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6,286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U.S. Treasury securities</w:t>
            </w:r>
            <w:r>
              <w:rPr>
                <w:rFonts w:ascii="Times New Roman" w:cs="Times New Roman" w:eastAsia="Times New Roman" w:hAnsi="Times New Roman"/>
                <w:sz w:val="25"/>
                <w:szCs w:val="25"/>
                <w:color w:val="auto"/>
                <w:vertAlign w:val="superscript"/>
              </w:rPr>
              <w:t>(2)</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325,714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325,714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Certificates of deposit</w:t>
            </w:r>
            <w:r>
              <w:rPr>
                <w:rFonts w:ascii="Times New Roman" w:cs="Times New Roman" w:eastAsia="Times New Roman" w:hAnsi="Times New Roman"/>
                <w:sz w:val="25"/>
                <w:szCs w:val="25"/>
                <w:color w:val="auto"/>
                <w:vertAlign w:val="superscript"/>
              </w:rPr>
              <w:t>(2)</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244</w:t>
            </w:r>
          </w:p>
        </w:tc>
        <w:tc>
          <w:tcPr>
            <w:tcW w:w="5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Agency securities</w:t>
            </w:r>
            <w:r>
              <w:rPr>
                <w:rFonts w:ascii="Times New Roman" w:cs="Times New Roman" w:eastAsia="Times New Roman" w:hAnsi="Times New Roman"/>
                <w:sz w:val="25"/>
                <w:szCs w:val="25"/>
                <w:color w:val="auto"/>
                <w:vertAlign w:val="superscript"/>
              </w:rPr>
              <w:t>(2)</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20,253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20,253</w:t>
            </w:r>
          </w:p>
        </w:tc>
        <w:tc>
          <w:tcPr>
            <w:tcW w:w="52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Commercial and corporate obligations</w:t>
            </w:r>
            <w:r>
              <w:rPr>
                <w:rFonts w:ascii="Times New Roman" w:cs="Times New Roman" w:eastAsia="Times New Roman" w:hAnsi="Times New Roman"/>
                <w:sz w:val="25"/>
                <w:szCs w:val="25"/>
                <w:color w:val="auto"/>
                <w:vertAlign w:val="superscript"/>
              </w:rPr>
              <w:t>(2)</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35,754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35,754</w:t>
            </w:r>
          </w:p>
        </w:tc>
        <w:tc>
          <w:tcPr>
            <w:tcW w:w="52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4"/>
                <w:szCs w:val="4"/>
                <w:color w:val="auto"/>
                <w:w w:val="98"/>
              </w:rPr>
              <w:t> </w:t>
            </w: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cash and cash equivalents in the accompanying combined balance sheets.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short-term or long-term investments in the accompanying combined balance sheets depending on the respective maturity date.</w:t>
      </w:r>
    </w:p>
    <w:p>
      <w:pPr>
        <w:spacing w:after="0" w:line="20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our financial instruments for which it is practicable to estimate that value:</w:t>
      </w:r>
    </w:p>
    <w:p>
      <w:pPr>
        <w:spacing w:after="0" w:line="160"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Marketable Securities. </w:t>
      </w:r>
      <w:r>
        <w:rPr>
          <w:rFonts w:ascii="Times New Roman" w:cs="Times New Roman" w:eastAsia="Times New Roman" w:hAnsi="Times New Roman"/>
          <w:sz w:val="18"/>
          <w:szCs w:val="18"/>
          <w:color w:val="auto"/>
        </w:rPr>
        <w:t>For fair values determined by Level 1 inputs, which utilize quoted prices in active markets for identical assets, the level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 required to estimate fair value is relatively low. For fair values determined by Level 2 inputs, which utilize quoted prices in less active markets for similar assets, the level of judgment required to estimate fair value is also considered relatively low.</w:t>
      </w:r>
    </w:p>
    <w:p>
      <w:pPr>
        <w:spacing w:after="0" w:line="2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Other Financial Instruments</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carrying amounts of certain of our financial instruments, including cash and cash equivalents, accounts payable, and accrued expenses approximate fair value due to their short-term nature.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Available for Sale Investments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short-term and long-term investments as of December 31, 2024 are as follows: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120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3"/>
                <w:szCs w:val="13"/>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440" w:type="dxa"/>
            <w:vAlign w:val="bottom"/>
            <w:vMerge w:val="restart"/>
          </w:tcPr>
          <w:p>
            <w:pPr>
              <w:spacing w:after="0"/>
              <w:rPr>
                <w:sz w:val="12"/>
                <w:szCs w:val="12"/>
                <w:color w:val="auto"/>
              </w:rPr>
            </w:pPr>
          </w:p>
        </w:tc>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3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440" w:type="dxa"/>
            <w:vAlign w:val="bottom"/>
            <w:vMerge w:val="continue"/>
          </w:tcPr>
          <w:p>
            <w:pPr>
              <w:spacing w:after="0"/>
              <w:rPr>
                <w:sz w:val="15"/>
                <w:szCs w:val="15"/>
                <w:color w:val="auto"/>
              </w:rPr>
            </w:pPr>
          </w:p>
        </w:tc>
        <w:tc>
          <w:tcPr>
            <w:tcW w:w="5500" w:type="dxa"/>
            <w:vAlign w:val="bottom"/>
            <w:tcBorders>
              <w:bottom w:val="single" w:sz="8" w:color="CCEEFF"/>
            </w:tcBorders>
            <w:gridSpan w:val="2"/>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0" w:type="dxa"/>
            <w:vAlign w:val="bottom"/>
            <w:tcBorders>
              <w:bottom w:val="single" w:sz="8" w:color="CCEEFF"/>
            </w:tcBorders>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6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50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Agency securities</w:t>
            </w:r>
            <w:r>
              <w:rPr>
                <w:rFonts w:ascii="Times New Roman" w:cs="Times New Roman" w:eastAsia="Times New Roman" w:hAnsi="Times New Roman"/>
                <w:sz w:val="24"/>
                <w:szCs w:val="24"/>
                <w:color w:val="auto"/>
                <w:vertAlign w:val="superscript"/>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— </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Commercial and corporate obligations</w:t>
            </w:r>
            <w:r>
              <w:rPr>
                <w:rFonts w:ascii="Times New Roman" w:cs="Times New Roman" w:eastAsia="Times New Roman" w:hAnsi="Times New Roman"/>
                <w:sz w:val="25"/>
                <w:szCs w:val="25"/>
                <w:color w:val="auto"/>
                <w:vertAlign w:val="superscript"/>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10,642</w:t>
            </w:r>
          </w:p>
        </w:tc>
        <w:tc>
          <w:tcPr>
            <w:tcW w:w="120" w:type="dxa"/>
            <w:vAlign w:val="bottom"/>
          </w:tcPr>
          <w:p>
            <w:pPr>
              <w:spacing w:after="0"/>
              <w:rPr>
                <w:sz w:val="18"/>
                <w:szCs w:val="18"/>
                <w:color w:val="auto"/>
              </w:rPr>
            </w:pP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10,652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US Treasury securities</w:t>
            </w:r>
            <w:r>
              <w:rPr>
                <w:rFonts w:ascii="Times New Roman" w:cs="Times New Roman" w:eastAsia="Times New Roman" w:hAnsi="Times New Roman"/>
                <w:sz w:val="25"/>
                <w:szCs w:val="25"/>
                <w:color w:val="auto"/>
                <w:vertAlign w:val="superscript"/>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283,985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284,495</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302,214</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88"/>
              </w:rPr>
              <w:t>527</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302,726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80" w:hanging="424"/>
        <w:spacing w:after="0" w:line="261" w:lineRule="auto"/>
        <w:tabs>
          <w:tab w:leader="none" w:pos="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our outstanding agency securities, $7.6 million have maturity dates of less than one year and $0.0 million have a maturity date of between one to two years as of December 31, 2024.</w:t>
      </w:r>
    </w:p>
    <w:p>
      <w:pPr>
        <w:ind w:left="540" w:hanging="424"/>
        <w:spacing w:after="0" w:line="250" w:lineRule="auto"/>
        <w:tabs>
          <w:tab w:leader="none" w:pos="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our outstanding commercial and corporate obligations, $10.7 million have maturity dates of less than one year and $0.0 million have a maturity date of between one to two years as of December 31, 2024.</w:t>
      </w:r>
    </w:p>
    <w:p>
      <w:pPr>
        <w:ind w:left="540" w:right="280" w:hanging="424"/>
        <w:spacing w:after="0" w:line="260" w:lineRule="auto"/>
        <w:tabs>
          <w:tab w:leader="none" w:pos="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our outstanding U.S. Treasury securities, $249.0 million have maturity dates of less than one year and $35.5 million have a maturity date of between one to two years as of December 31, 2024.</w:t>
      </w:r>
    </w:p>
    <w:p>
      <w:pPr>
        <w:spacing w:after="0" w:line="18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aggregate market value, cost basis, and gross unrealized gains and losses of available-for-sale investments by security type, classified in cash equivalents, short-term and long-term investments as of December 31, 2023 are as follows: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3"/>
                <w:szCs w:val="13"/>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5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gridSpan w:val="3"/>
            <w:vMerge w:val="continue"/>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5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Agency securities</w:t>
            </w:r>
            <w:r>
              <w:rPr>
                <w:rFonts w:ascii="Times New Roman" w:cs="Times New Roman" w:eastAsia="Times New Roman" w:hAnsi="Times New Roman"/>
                <w:sz w:val="24"/>
                <w:szCs w:val="24"/>
                <w:color w:val="auto"/>
                <w:vertAlign w:val="superscript"/>
              </w:rPr>
              <w:t>(1)</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20,322</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Certificates of deposit</w:t>
            </w:r>
            <w:r>
              <w:rPr>
                <w:rFonts w:ascii="Times New Roman" w:cs="Times New Roman" w:eastAsia="Times New Roman" w:hAnsi="Times New Roman"/>
                <w:sz w:val="25"/>
                <w:szCs w:val="25"/>
                <w:color w:val="auto"/>
                <w:vertAlign w:val="superscript"/>
              </w:rPr>
              <w:t>(2)</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Commercial and corporate obligations</w:t>
            </w:r>
            <w:r>
              <w:rPr>
                <w:rFonts w:ascii="Times New Roman" w:cs="Times New Roman" w:eastAsia="Times New Roman" w:hAnsi="Times New Roman"/>
                <w:sz w:val="25"/>
                <w:szCs w:val="25"/>
                <w:color w:val="auto"/>
                <w:vertAlign w:val="superscript"/>
              </w:rPr>
              <w:t>(3)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35,760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35,754</w:t>
            </w:r>
          </w:p>
        </w:tc>
        <w:tc>
          <w:tcPr>
            <w:tcW w:w="0" w:type="dxa"/>
            <w:vAlign w:val="bottom"/>
          </w:tcPr>
          <w:p>
            <w:pPr>
              <w:spacing w:after="0"/>
              <w:rPr>
                <w:sz w:val="1"/>
                <w:szCs w:val="1"/>
                <w:color w:val="auto"/>
              </w:rPr>
            </w:pPr>
          </w:p>
        </w:tc>
      </w:tr>
      <w:tr>
        <w:trPr>
          <w:trHeight w:val="216"/>
        </w:trPr>
        <w:tc>
          <w:tcPr>
            <w:tcW w:w="54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US Treasury securities</w:t>
            </w:r>
            <w:r>
              <w:rPr>
                <w:rFonts w:ascii="Times New Roman" w:cs="Times New Roman" w:eastAsia="Times New Roman" w:hAnsi="Times New Roman"/>
                <w:sz w:val="25"/>
                <w:szCs w:val="25"/>
                <w:color w:val="auto"/>
                <w:vertAlign w:val="superscript"/>
              </w:rPr>
              <w:t>(4)</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326,227</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122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325,714</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382,555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199</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381,965</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line="261" w:lineRule="auto"/>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our outstanding agency securities, $20.3 million have maturity dates of less than one year and $0.0 million have a maturity date of between one to two years as of December 31, 2023.</w:t>
      </w:r>
    </w:p>
    <w:p>
      <w:pPr>
        <w:ind w:left="540" w:right="20" w:hanging="424"/>
        <w:spacing w:after="0" w:line="250" w:lineRule="auto"/>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our outstanding certificates of deposit, $0.2 million have a maturity date of less than one year and $0.0 million have a maturity date of between one to two years as of December 31, 2023.</w:t>
      </w:r>
    </w:p>
    <w:p>
      <w:pPr>
        <w:ind w:left="540" w:right="560" w:hanging="424"/>
        <w:spacing w:after="0" w:line="250" w:lineRule="auto"/>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our outstanding commercial and corporate obligations, $25.8 million have maturity dates of less than one year and $10.0 million have a maturity date of between one to two years as of December 31, 2023.</w:t>
      </w:r>
    </w:p>
    <w:p>
      <w:pPr>
        <w:ind w:left="540" w:right="280" w:hanging="424"/>
        <w:spacing w:after="0" w:line="260" w:lineRule="auto"/>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our outstanding U.S. Treasury securities, $308.6 million have maturity dates of less than one year and $17.1 million have a maturity date of between one to two years as of December 31, 2023.</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00"/>
          </w:cols>
          <w:pgMar w:left="320" w:top="455" w:right="4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present gross unrealized losses and fair values for those investments that were in an unrealized loss position as</w:t>
      </w:r>
    </w:p>
    <w:p>
      <w:pPr>
        <w:spacing w:after="0" w:line="27" w:lineRule="exact"/>
        <w:rPr>
          <w:sz w:val="20"/>
          <w:szCs w:val="20"/>
          <w:color w:val="auto"/>
        </w:rPr>
      </w:pPr>
    </w:p>
    <w:p>
      <w:pPr>
        <w:ind w:left="120" w:right="540"/>
        <w:spacing w:after="0" w:line="260" w:lineRule="auto"/>
        <w:rPr>
          <w:sz w:val="20"/>
          <w:szCs w:val="20"/>
          <w:color w:val="auto"/>
        </w:rPr>
      </w:pPr>
      <w:r>
        <w:rPr>
          <w:rFonts w:ascii="Times New Roman" w:cs="Times New Roman" w:eastAsia="Times New Roman" w:hAnsi="Times New Roman"/>
          <w:sz w:val="18"/>
          <w:szCs w:val="18"/>
          <w:color w:val="auto"/>
        </w:rPr>
        <w:t>of December 31, 2024 and December 31, 2023, aggregated by investment category and the length of time that individual securities have been in a continuous loss position:</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gridSpan w:val="6"/>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160" w:type="dxa"/>
            <w:vAlign w:val="bottom"/>
          </w:tcPr>
          <w:p>
            <w:pPr>
              <w:spacing w:after="0"/>
              <w:rPr>
                <w:sz w:val="12"/>
                <w:szCs w:val="12"/>
                <w:color w:val="auto"/>
              </w:rPr>
            </w:pPr>
          </w:p>
        </w:tc>
        <w:tc>
          <w:tcPr>
            <w:tcW w:w="1840" w:type="dxa"/>
            <w:vAlign w:val="bottom"/>
            <w:gridSpan w:val="6"/>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Greater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73"/>
        </w:trPr>
        <w:tc>
          <w:tcPr>
            <w:tcW w:w="482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8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8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Agency securities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$ 32,829</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xml:space="preserve">— </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xml:space="preserve">— </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$ 32,829</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gridSpan w:val="6"/>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160" w:type="dxa"/>
            <w:vAlign w:val="bottom"/>
          </w:tcPr>
          <w:p>
            <w:pPr>
              <w:spacing w:after="0"/>
              <w:rPr>
                <w:sz w:val="12"/>
                <w:szCs w:val="12"/>
                <w:color w:val="auto"/>
              </w:rPr>
            </w:pPr>
          </w:p>
        </w:tc>
        <w:tc>
          <w:tcPr>
            <w:tcW w:w="1840" w:type="dxa"/>
            <w:vAlign w:val="bottom"/>
            <w:gridSpan w:val="6"/>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Greater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73"/>
        </w:trPr>
        <w:tc>
          <w:tcPr>
            <w:tcW w:w="482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8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8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Agency securities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and corporate obligations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15,200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98,840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197,840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106,530</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(120)</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132,167</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(669)</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238,697</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2024 and 2023, unrealized losses on available-for-sale investments were less than $0.1 million and $0.8 million, respectively, with no unrealized losses, on available for sale investments that were in an unrealized loss position for greater than 12 months as of December 31, 2024. We do not intend to sell the investments and it is not more likely than not that we will be required to sell the investments before recovery of their amortized cost basis, accordingly, no allowance for credit losses was recorded.</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7. Equity Compensation Plan</w:t>
      </w:r>
    </w:p>
    <w:p>
      <w:pPr>
        <w:spacing w:after="0" w:line="121"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currently have no stock-based compensation plan. Under AnaptysBio, Inc.’s stock-based compensation plan, 2017 Equity Incentive Plan (the “2017 Plan”), AnaptysBio, Inc. may grant stock options, stock appreciation rights, restricted stock, restricted stock units and other awards to individuals who are then our employees, officers, directors or consultants. All awards granted under AnaptysBio, Inc.’s 2017 Plan were based on AnaptysBio, Inc.’s common shares and, as such, are reflected in AnaptysBio, Inc.’s consolidated statement of equity and not in our combined statements of equity.</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All awards granted under AnaptysBio, Inc.’s equity plans consist of shares of AnaptysBio, Inc.’s common stock. Accordingly, the amounts presented are not necessarily indicative of future stock-based compensation and do not necessarily reflect the amounts that we would have recorded as an independent, publicly traded company for the periods presented. The activity presented in the tables that follow this paragraph represent the stock options and stock units for AnaptysBio, Inc.</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Stock options granted to employees and non-employees generally vest over a four-year period while stock options granted to directors generally vest over a one-year period. Each stock option award has a maximum term</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40"/>
          </w:cols>
          <w:pgMar w:left="320" w:top="455" w:right="4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of 10 years from the date of grant, subject to earlier cancellation prior to vesting upon cessation of service to us. A summary of the activity related to stock option awards during the year ended December 31, 2024 is as follows: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7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46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4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4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00" w:type="dxa"/>
            <w:vAlign w:val="bottom"/>
          </w:tcPr>
          <w:p>
            <w:pPr>
              <w:spacing w:after="0"/>
              <w:rPr>
                <w:sz w:val="12"/>
                <w:szCs w:val="12"/>
                <w:color w:val="auto"/>
              </w:rPr>
            </w:pPr>
          </w:p>
        </w:tc>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46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24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300" w:type="dxa"/>
            <w:vAlign w:val="bottom"/>
          </w:tcPr>
          <w:p>
            <w:pPr>
              <w:spacing w:after="0"/>
              <w:rPr>
                <w:sz w:val="12"/>
                <w:szCs w:val="12"/>
                <w:color w:val="auto"/>
              </w:rPr>
            </w:pPr>
          </w:p>
        </w:tc>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14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114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4,225,615</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6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7.42</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2,423,788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21.81</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Exercises</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(282,210)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18.96</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Forfeitures and cancellations</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(280,904)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34.74</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6,086,289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25.20</w:t>
            </w:r>
          </w:p>
        </w:tc>
        <w:tc>
          <w:tcPr>
            <w:tcW w:w="10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7.63</w:t>
            </w: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460" w:type="dxa"/>
            <w:vAlign w:val="bottom"/>
            <w:gridSpan w:val="2"/>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8"/>
                <w:szCs w:val="18"/>
                <w:color w:val="auto"/>
              </w:rPr>
              <w:t>28.60</w:t>
            </w:r>
          </w:p>
        </w:tc>
        <w:tc>
          <w:tcPr>
            <w:tcW w:w="10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6.32</w:t>
            </w:r>
          </w:p>
        </w:tc>
        <w:tc>
          <w:tcPr>
            <w:tcW w:w="4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line="20" w:lineRule="exact"/>
              <w:rPr>
                <w:sz w:val="1"/>
                <w:szCs w:val="1"/>
                <w:color w:val="auto"/>
              </w:rPr>
            </w:pPr>
          </w:p>
        </w:tc>
      </w:tr>
      <w:tr>
        <w:trPr>
          <w:trHeight w:val="215"/>
        </w:trPr>
        <w:tc>
          <w:tcPr>
            <w:tcW w:w="5340" w:type="dxa"/>
            <w:vAlign w:val="bottom"/>
            <w:vMerge w:val="continue"/>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2,829,196</w:t>
            </w:r>
          </w:p>
        </w:tc>
        <w:tc>
          <w:tcPr>
            <w:tcW w:w="6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Time-Based Restricted Stock Units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Restricted Stock Unit (“RSU”)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 straight-line basis. The RSUs do not entitle the participants to the rights of holders of common stock, such as voting rights, until the shares are issued.</w:t>
      </w:r>
    </w:p>
    <w:p>
      <w:pPr>
        <w:spacing w:after="0" w:line="18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60" w:type="dxa"/>
            <w:vAlign w:val="bottom"/>
          </w:tcPr>
          <w:p>
            <w:pPr>
              <w:spacing w:after="0"/>
              <w:rPr>
                <w:sz w:val="13"/>
                <w:szCs w:val="13"/>
                <w:color w:val="auto"/>
              </w:rPr>
            </w:pPr>
          </w:p>
        </w:tc>
        <w:tc>
          <w:tcPr>
            <w:tcW w:w="7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42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gridSpan w:val="3"/>
            <w:vMerge w:val="continue"/>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16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4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2"/>
                <w:szCs w:val="12"/>
                <w:color w:val="auto"/>
              </w:rPr>
            </w:pPr>
          </w:p>
        </w:tc>
        <w:tc>
          <w:tcPr>
            <w:tcW w:w="106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4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4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5"/>
                <w:szCs w:val="15"/>
                <w:color w:val="auto"/>
              </w:rPr>
            </w:pPr>
          </w:p>
        </w:tc>
        <w:tc>
          <w:tcPr>
            <w:tcW w:w="106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5"/>
                <w:szCs w:val="15"/>
                <w:color w:val="auto"/>
              </w:rPr>
            </w:pPr>
          </w:p>
        </w:tc>
        <w:tc>
          <w:tcPr>
            <w:tcW w:w="7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1,481,572</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24.80</w:t>
            </w:r>
          </w:p>
        </w:tc>
        <w:tc>
          <w:tcPr>
            <w:tcW w:w="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882,385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21.81</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14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(1,108,333)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25.74</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Forfeitures and cancellations</w:t>
            </w: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(27,947)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25.37</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1,227,677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21.79</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16,254</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RSU expected to vest at December 31, 2024</w:t>
            </w:r>
          </w:p>
        </w:tc>
        <w:tc>
          <w:tcPr>
            <w:tcW w:w="1420" w:type="dxa"/>
            <w:vAlign w:val="bottom"/>
            <w:gridSpan w:val="2"/>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21.79</w:t>
            </w: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1.46</w:t>
            </w: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16,254</w:t>
            </w:r>
          </w:p>
        </w:tc>
        <w:tc>
          <w:tcPr>
            <w:tcW w:w="0" w:type="dxa"/>
            <w:vAlign w:val="bottom"/>
          </w:tcPr>
          <w:p>
            <w:pPr>
              <w:spacing w:after="0" w:line="20" w:lineRule="exact"/>
              <w:rPr>
                <w:sz w:val="1"/>
                <w:szCs w:val="1"/>
                <w:color w:val="auto"/>
              </w:rPr>
            </w:pPr>
          </w:p>
        </w:tc>
      </w:tr>
      <w:tr>
        <w:trPr>
          <w:trHeight w:val="215"/>
        </w:trPr>
        <w:tc>
          <w:tcPr>
            <w:tcW w:w="5540" w:type="dxa"/>
            <w:vAlign w:val="bottom"/>
            <w:gridSpan w:val="2"/>
            <w:vMerge w:val="continue"/>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1,227,677</w:t>
            </w:r>
          </w:p>
        </w:tc>
        <w:tc>
          <w:tcPr>
            <w:tcW w:w="5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 Performance Stock Unit (“PSU”) represents one equivalent share of our common stock to be issued after achievement of the performance metrics specified in the grant. The fair value of our PSUs is estimated as of the grant date of July 22, 2024, based upon the expected achievement of the performance metrics specified in the grant and the closing market price of our common stock on the date of grant. The grant date fair value is estimated using a Monte Carlo simulation using the following assumptions:</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73"/>
        </w:trPr>
        <w:tc>
          <w:tcPr>
            <w:tcW w:w="594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940" w:type="dxa"/>
            <w:vAlign w:val="bottom"/>
            <w:tcBorders>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of common stock</w:t>
            </w: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term (in years)</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r>
    </w:tbl>
    <w:p>
      <w:pPr>
        <w:spacing w:after="0" w:line="19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compensation expense for the awards is recognized over the requisite service period regardless of whether the market conditions are achieved and will only be adjusted for pre-vesting forfeitures due to the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080"/>
          </w:cols>
          <w:pgMar w:left="320" w:top="455" w:right="4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termination of the recipient’s employment with the Company prior to the expiration of the requisite service period. The requisite service period over which the compensation expense will be recognized is July 22, 2024 through July 1, 2028.</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a summary of activity with respect to our PSUs: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72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40" w:type="dxa"/>
            <w:vAlign w:val="bottom"/>
            <w:gridSpan w:val="3"/>
          </w:tcPr>
          <w:p>
            <w:pPr>
              <w:jc w:val="center"/>
              <w:ind w:left="559"/>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680" w:type="dxa"/>
            <w:vAlign w:val="bottom"/>
            <w:gridSpan w:val="3"/>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060" w:type="dxa"/>
            <w:vAlign w:val="bottom"/>
            <w:gridSpan w:val="3"/>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72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36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72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4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ind w:left="345"/>
              <w:spacing w:after="0"/>
              <w:rPr>
                <w:sz w:val="20"/>
                <w:szCs w:val="20"/>
                <w:color w:val="auto"/>
              </w:rPr>
            </w:pPr>
            <w:r>
              <w:rPr>
                <w:rFonts w:ascii="Times New Roman" w:cs="Times New Roman" w:eastAsia="Times New Roman" w:hAnsi="Times New Roman"/>
                <w:sz w:val="18"/>
                <w:szCs w:val="18"/>
                <w:color w:val="auto"/>
                <w:w w:val="81"/>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511,000</w:t>
            </w:r>
          </w:p>
        </w:tc>
        <w:tc>
          <w:tcPr>
            <w:tcW w:w="40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1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46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(6,500)</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504,500</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recognize stock-based compensation expense for awards issued to employees and non-employees over the requisite service period based on the estimated grant-date fair value of such awards. 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 The estimated fair values of stock option awards granted were determined on the date of grant using the Black-Scholes option valuation model with the following weighted-average assumptions:</w:t>
      </w:r>
    </w:p>
    <w:p>
      <w:pPr>
        <w:spacing w:after="0" w:line="208"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498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4.0%</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6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78.4%</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85.7%</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6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6.28</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5.82</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268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$15.54</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$16.06</w:t>
            </w:r>
          </w:p>
        </w:tc>
      </w:tr>
    </w:tbl>
    <w:p>
      <w:pPr>
        <w:spacing w:after="0" w:line="198"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determine the appropriate risk-free interest rate, expected term for employee stock-based awards, contractual term for non-employee stock-based awards, and volatility assumptions. The weighted-average expected option term for employee and non-employee stock-based awards reflects the historical option term. Expected volatility incorporates the historical volatility of our stock price. The risk-free interest rate is based upon U.S. Treasury securities with remaining terms similar to the expected or contractual term of the stock-based payment awards. The assumed dividend yield is based on our expectation of not paying dividends in the foreseeable future.</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Stock-based compensation expense was allocated to us using a proportionate cost allocation method, which management believes is consistent and reasonable. For the research and development portion, costs were allocated using the percentage of external research and development costs as the allocation driver. For the general and administrative portion, costs were allocated similarly to the allocation of research and development costs, with a portion allocated based on estimated employee headcount.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under AnaptysBio, Inc.’s 2017 Plan allocated to us and included within our combined statements of operations consisted of the following (in thousands):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88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13,785</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8"/>
                <w:szCs w:val="18"/>
                <w:color w:val="auto"/>
              </w:rPr>
            </w:pPr>
          </w:p>
        </w:tc>
        <w:tc>
          <w:tcPr>
            <w:tcW w:w="14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13,042</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11,465</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26,827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18,393</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8. Employee Benefit Plan</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currently have no defined contribution 401(k) plan. Under AnaptysBio, Inc.’s defined contribution 401(k) plan, employee contributions are voluntary, for eligible employees, and are determined on an individual basis, limited to the maximum amount allowable under U.S. federal tax regulations. We elected to match 100% of an employee’s contributions up to 10% of the employees’ eligible salary with a maximum limit of $23,000 in 2024 and 100% of the employees’ contribution up to 10% of the employees’ salary with a maximum limit of $22,500 in 2023. For the years ended December 31, 2024 and 2023, we incurred approximately $1.9 million and $1.0 million.</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May 4, 2020, we entered into a lease agreement with Wateridge Property Owner, LP, with respect to facilities in the building at 10770 Wateridge Circle, San Diego, California 92121 (the “Lease Agreement”). Under the Lease Agreement, we agreed to lease approximately 45,000 square feet of space for a term of 124 months, beginning on April 5, 2021. The terms of the Lease Agreement provide us with an option to extend the term of the lease for an additional five years, as well as a one-time option to terminate the lease after seven years with the payment of a termination fee. The exercise of the lease option is at our sole discretion, which we currently do not anticipate exercising and as such was not recognized as part of the ROU asset and lease liability. The monthly base rent was initially $4.20 per rentable square foot and is increased by 3% annually. Under the Lease Agreement, we are also responsible for our pro rata share of real estate taxes, building insurance, maintenance, direct expenses, and utilities. Upon lease commencement, on April 5, 2021, we recognized an ROU asset of $20.6 million, with a corresponding lease liability of $20.7 million on the combined balance sheets. The ROU asset includes adjustments for prepayments, initial direct costs, and lease incentives. As of December 31, 2024, we have recorded $0.3 million as a security deposit in accordance with the terms of the Lease Agreement.</w:t>
      </w:r>
    </w:p>
    <w:p>
      <w:pPr>
        <w:spacing w:after="0" w:line="19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lease payments are fixed, and we recognize lease expense for leases on a straight-line basis over the lease term. Operating lease ROU assets and lease liabilities are recorded based on the present value of the future minimum lease payments over the lease term at commencement date. As our lease does not provide an implicit rate, we used our incremental borrowing rate based on the information available at the lease commencement date in determining the present value of future payments. The weighted-average discount rate used was 4.0% and the weighted-average remaining lease term is approximately 6.7 years.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non-cancellable office lease costs are included in our combined statements of cash flow (in thousands):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6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4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Classification on the</w:t>
            </w:r>
          </w:p>
        </w:tc>
        <w:tc>
          <w:tcPr>
            <w:tcW w:w="580" w:type="dxa"/>
            <w:vAlign w:val="bottom"/>
          </w:tcPr>
          <w:p>
            <w:pPr>
              <w:spacing w:after="0"/>
              <w:rPr>
                <w:sz w:val="15"/>
                <w:szCs w:val="15"/>
                <w:color w:val="auto"/>
              </w:rPr>
            </w:pPr>
          </w:p>
        </w:tc>
        <w:tc>
          <w:tcPr>
            <w:tcW w:w="160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980" w:type="dxa"/>
            <w:vAlign w:val="bottom"/>
            <w:vMerge w:val="restart"/>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108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420" w:type="dxa"/>
            <w:vAlign w:val="bottom"/>
            <w:tcBorders>
              <w:bottom w:val="single" w:sz="8" w:color="auto"/>
            </w:tcBorders>
            <w:vMerge w:val="continue"/>
          </w:tcPr>
          <w:p>
            <w:pPr>
              <w:spacing w:after="0"/>
              <w:rPr>
                <w:sz w:val="15"/>
                <w:szCs w:val="15"/>
                <w:color w:val="auto"/>
              </w:rPr>
            </w:pPr>
          </w:p>
        </w:tc>
        <w:tc>
          <w:tcPr>
            <w:tcW w:w="49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ind w:right="236"/>
              <w:spacing w:after="0" w:line="160"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108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Operating lease cost</w:t>
            </w:r>
          </w:p>
        </w:tc>
        <w:tc>
          <w:tcPr>
            <w:tcW w:w="3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Operating</w:t>
            </w:r>
          </w:p>
        </w:tc>
        <w:tc>
          <w:tcPr>
            <w:tcW w:w="5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$2,478</w:t>
            </w: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$2,478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Operating</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420" w:type="dxa"/>
            <w:vAlign w:val="bottom"/>
          </w:tcPr>
          <w:p>
            <w:pPr>
              <w:spacing w:after="0"/>
              <w:rPr>
                <w:sz w:val="24"/>
                <w:szCs w:val="24"/>
                <w:color w:val="auto"/>
              </w:rPr>
            </w:pPr>
          </w:p>
        </w:tc>
        <w:tc>
          <w:tcPr>
            <w:tcW w:w="498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F-19</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December 31, 2024, the future minimum annual obligations for the Company’s operating lease liabilities are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 (in thousands)</w:t>
            </w: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2,531</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2,607</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2,685</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2,766</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2,849</w:t>
            </w: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payments required</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18,377</w:t>
            </w: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(2,340)</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16,037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certain of these arrangements, we indemnify, hold harmless, and agree to reimburse the indemnified parties for losses suffered or incurred by the indemnified party for third party claims in connection with our breach of the agreement, our negligence or willful misconduct in connection with the agreement, or any trade secret, copyright, patent or other intellectual property infringement claim with respect to our technology. The term of these indemnification arrangements is generally perpetual. The maximum potential amount of future payments we could be required to make under these agreements is not determinable because it involves claims that may be made against us in the future, but have not yet been made.</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indemnify our officers and directors for certain events or occurrences, subject to certain limits, while the officer or director is or was serving in such capacity, as permitted under Delaware law, in accordance with our certificate of incorporation and bylaws, and pursuant to agreements providing for indemnification entered into with our officers and directors. The term of the indemnification period lasts as long as an officer or director may be subject to any proceeding arising out of acts or omissions of such officer or director in such capacity.</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maximum amount of potential future indemnification of directors and officers is unlimited; however, we currently hold director and officer liability insurance. This insurance allows the transfer of risk associated with our exposure and may enable us to recover a portion of any future amounts paid.</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believe that the fair value of these indemnification obligations is minimal. Accordingly, we have not recognized any liabilities relating to these obligations for any period presented.</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10. Segment Reporting</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operate as one reportable segment focused on research and development activities to deliver immunology therapeutics for autoimmune and inflammatory diseases. Segment profit or loss is measured as the net loss reported on our combined Statements of Operations and Comprehensive Loss and net loss is used to monitor results. The measure of segment assets is reported on our combined Balance Sheets as total assets.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CODM is our Chief Executive Officer. The CODM manages the business activities on a combined basis in making decisions regarding resource allocation and performance assessment.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is a summary of segment loss and our significant expenses (in thousands):</w:t>
      </w:r>
    </w:p>
    <w:p>
      <w:pPr>
        <w:spacing w:after="0" w:line="246"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196"/>
        </w:trPr>
        <w:tc>
          <w:tcPr>
            <w:tcW w:w="6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External R&amp;D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Rosnilimab</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53,422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25,010</w:t>
            </w:r>
          </w:p>
        </w:tc>
      </w:tr>
      <w:tr>
        <w:trPr>
          <w:trHeight w:val="216"/>
        </w:trPr>
        <w:tc>
          <w:tcPr>
            <w:tcW w:w="6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ANB032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26,084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17,197</w:t>
            </w:r>
          </w:p>
        </w:tc>
      </w:tr>
      <w:tr>
        <w:trPr>
          <w:trHeight w:val="216"/>
        </w:trPr>
        <w:tc>
          <w:tcPr>
            <w:tcW w:w="6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ANB033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12,460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11,520</w:t>
            </w:r>
          </w:p>
        </w:tc>
      </w:tr>
      <w:tr>
        <w:trPr>
          <w:trHeight w:val="216"/>
        </w:trPr>
        <w:tc>
          <w:tcPr>
            <w:tcW w:w="6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ANB101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Preclinical and other unallocated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14,350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14,526</w:t>
            </w:r>
          </w:p>
        </w:tc>
      </w:tr>
      <w:tr>
        <w:trPr>
          <w:trHeight w:val="230"/>
        </w:trPr>
        <w:tc>
          <w:tcPr>
            <w:tcW w:w="6240" w:type="dxa"/>
            <w:vAlign w:val="bottom"/>
          </w:tcPr>
          <w:p>
            <w:pPr>
              <w:ind w:left="360"/>
              <w:spacing w:after="0" w:line="223" w:lineRule="exact"/>
              <w:rPr>
                <w:sz w:val="20"/>
                <w:szCs w:val="20"/>
                <w:color w:val="auto"/>
              </w:rPr>
            </w:pPr>
            <w:r>
              <w:rPr>
                <w:rFonts w:ascii="Times New Roman" w:cs="Times New Roman" w:eastAsia="Times New Roman" w:hAnsi="Times New Roman"/>
                <w:sz w:val="17"/>
                <w:szCs w:val="17"/>
                <w:color w:val="auto"/>
              </w:rPr>
              <w:t>Total External R&amp;D</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109,683</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68,253</w:t>
            </w:r>
          </w:p>
        </w:tc>
        <w:tc>
          <w:tcPr>
            <w:tcW w:w="100" w:type="dxa"/>
            <w:vAlign w:val="bottom"/>
          </w:tcPr>
          <w:p>
            <w:pPr>
              <w:spacing w:after="0"/>
              <w:rPr>
                <w:sz w:val="20"/>
                <w:szCs w:val="20"/>
                <w:color w:val="auto"/>
              </w:rPr>
            </w:pPr>
          </w:p>
        </w:tc>
      </w:tr>
      <w:tr>
        <w:trPr>
          <w:trHeight w:val="216"/>
        </w:trPr>
        <w:tc>
          <w:tcPr>
            <w:tcW w:w="624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Total Internal R&amp;D</w:t>
            </w:r>
            <w:r>
              <w:rPr>
                <w:rFonts w:ascii="Times New Roman" w:cs="Times New Roman" w:eastAsia="Times New Roman" w:hAnsi="Times New Roman"/>
                <w:sz w:val="25"/>
                <w:szCs w:val="25"/>
                <w:color w:val="auto"/>
                <w:vertAlign w:val="superscript"/>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42,662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22,002</w:t>
            </w: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Total R&amp;D</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152,345</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90,255</w:t>
            </w:r>
          </w:p>
        </w:tc>
        <w:tc>
          <w:tcPr>
            <w:tcW w:w="100" w:type="dxa"/>
            <w:vAlign w:val="bottom"/>
          </w:tcPr>
          <w:p>
            <w:pPr>
              <w:spacing w:after="0"/>
              <w:rPr>
                <w:sz w:val="20"/>
                <w:szCs w:val="20"/>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7,339</w:t>
            </w:r>
          </w:p>
        </w:tc>
      </w:tr>
      <w:tr>
        <w:trPr>
          <w:trHeight w:val="216"/>
        </w:trPr>
        <w:tc>
          <w:tcPr>
            <w:tcW w:w="624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External G&amp;A</w:t>
            </w:r>
            <w:r>
              <w:rPr>
                <w:rFonts w:ascii="Times New Roman" w:cs="Times New Roman" w:eastAsia="Times New Roman" w:hAnsi="Times New Roman"/>
                <w:sz w:val="25"/>
                <w:szCs w:val="25"/>
                <w:color w:val="auto"/>
                <w:vertAlign w:val="superscript"/>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4,126</w:t>
            </w:r>
          </w:p>
        </w:tc>
      </w:tr>
      <w:tr>
        <w:trPr>
          <w:trHeight w:val="216"/>
        </w:trPr>
        <w:tc>
          <w:tcPr>
            <w:tcW w:w="624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Internal G&amp;A</w:t>
            </w:r>
            <w:r>
              <w:rPr>
                <w:rFonts w:ascii="Times New Roman" w:cs="Times New Roman" w:eastAsia="Times New Roman" w:hAnsi="Times New Roman"/>
                <w:sz w:val="25"/>
                <w:szCs w:val="25"/>
                <w:color w:val="auto"/>
                <w:vertAlign w:val="superscript"/>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21,950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16,741</w:t>
            </w:r>
          </w:p>
        </w:tc>
      </w:tr>
      <w:tr>
        <w:trPr>
          <w:trHeight w:val="230"/>
        </w:trPr>
        <w:tc>
          <w:tcPr>
            <w:tcW w:w="6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G&amp;A</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28,756</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20,867</w:t>
            </w:r>
          </w:p>
        </w:tc>
        <w:tc>
          <w:tcPr>
            <w:tcW w:w="100" w:type="dxa"/>
            <w:vAlign w:val="bottom"/>
          </w:tcPr>
          <w:p>
            <w:pPr>
              <w:spacing w:after="0"/>
              <w:rPr>
                <w:sz w:val="20"/>
                <w:szCs w:val="20"/>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181,101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118,461</w:t>
            </w: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(181,101</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(118,461)</w:t>
            </w:r>
          </w:p>
        </w:tc>
        <w:tc>
          <w:tcPr>
            <w:tcW w:w="100" w:type="dxa"/>
            <w:vAlign w:val="bottom"/>
          </w:tcPr>
          <w:p>
            <w:pPr>
              <w:spacing w:after="0"/>
              <w:rPr>
                <w:sz w:val="20"/>
                <w:szCs w:val="20"/>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17,382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12,313</w:t>
            </w: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17,396</w:t>
            </w:r>
          </w:p>
        </w:tc>
        <w:tc>
          <w:tcPr>
            <w:tcW w:w="2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12,311</w:t>
            </w: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Segment net loss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(163,705</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(106,150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80" w:hanging="424"/>
        <w:spacing w:after="0" w:line="261" w:lineRule="auto"/>
        <w:tabs>
          <w:tab w:leader="none" w:pos="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R&amp;D consists of costs associated with our research and development activities, including drug discovery efforts, preclinical and clinical development of our programs, manufacturing, and allocated facility-related costs.</w:t>
      </w:r>
    </w:p>
    <w:p>
      <w:pPr>
        <w:ind w:left="540" w:hanging="424"/>
        <w:spacing w:after="0"/>
        <w:tabs>
          <w:tab w:leader="none" w:pos="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R&amp;D and G&amp;A consist of salaries and wages, stock-based compensation, recruiting and other employee benefits.</w:t>
      </w:r>
    </w:p>
    <w:p>
      <w:pPr>
        <w:spacing w:after="0" w:line="9" w:lineRule="exact"/>
        <w:rPr>
          <w:rFonts w:ascii="Times New Roman" w:cs="Times New Roman" w:eastAsia="Times New Roman" w:hAnsi="Times New Roman"/>
          <w:sz w:val="18"/>
          <w:szCs w:val="18"/>
          <w:color w:val="auto"/>
        </w:rPr>
      </w:pPr>
    </w:p>
    <w:p>
      <w:pPr>
        <w:ind w:left="540" w:right="80" w:hanging="424"/>
        <w:spacing w:after="0" w:line="260" w:lineRule="auto"/>
        <w:tabs>
          <w:tab w:leader="none" w:pos="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G&amp;A consists of general and administrative expenses including legal services, insurance, professional fees for auditing, tax, and market research, and allocated facility-related costs not otherwise included in research and development expenses.</w:t>
      </w:r>
    </w:p>
    <w:p>
      <w:pPr>
        <w:spacing w:after="0" w:line="2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provision for income taxes calculations have been prepared using the separate return method as if the Company had filed its own tax return. In general, the Company has not recorded a provision for federal or state income taxes as it has had cumulative net operating losses since inception. As part of the separation, AnaptysBio, Inc. will retain all rights associated with the unused federal and state net operating losses, or NOLs, and research tax credit carryforwards to offset future taxable income.</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060"/>
          </w:cols>
          <w:pgMar w:left="320" w:top="455" w:right="51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loss before income tax provision consist of the following:</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8"/>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220" w:type="dxa"/>
            <w:vAlign w:val="bottom"/>
            <w:tcBorders>
              <w:bottom w:val="single" w:sz="8" w:color="CCEEFF"/>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(163,844)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$(106,107)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loss before income taxes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(163,705)</w:t>
            </w:r>
          </w:p>
        </w:tc>
        <w:tc>
          <w:tcPr>
            <w:tcW w:w="10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$(106,150)</w:t>
            </w:r>
          </w:p>
        </w:tc>
        <w:tc>
          <w:tcPr>
            <w:tcW w:w="0" w:type="dxa"/>
            <w:vAlign w:val="bottom"/>
          </w:tcPr>
          <w:p>
            <w:pPr>
              <w:spacing w:after="0"/>
              <w:rPr>
                <w:sz w:val="1"/>
                <w:szCs w:val="1"/>
                <w:color w:val="auto"/>
              </w:rPr>
            </w:pPr>
          </w:p>
        </w:tc>
      </w:tr>
      <w:tr>
        <w:trPr>
          <w:trHeight w:val="432"/>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Significant components of our deferred tax assets and liabilities are as follows: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220" w:type="dxa"/>
            <w:vAlign w:val="bottom"/>
            <w:tcBorders>
              <w:bottom w:val="single" w:sz="8" w:color="CCEEFF"/>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8,642</w:t>
            </w:r>
          </w:p>
        </w:tc>
        <w:tc>
          <w:tcPr>
            <w:tcW w:w="28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174 Capitalized R&amp;D</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46,132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21,555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19,731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14,160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compensation</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10,270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3,540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8,666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3,582</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6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96,981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ROU asset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6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(5,379)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(4,996)</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deferred tax assets</w:t>
            </w: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(91,602)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(46,086)</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2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4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400" w:type="dxa"/>
            <w:vAlign w:val="bottom"/>
            <w:gridSpan w:val="2"/>
          </w:tcPr>
          <w:p>
            <w:pPr>
              <w:spacing w:after="0"/>
              <w:rPr>
                <w:sz w:val="19"/>
                <w:szCs w:val="19"/>
                <w:color w:val="auto"/>
              </w:rPr>
            </w:pPr>
          </w:p>
        </w:tc>
        <w:tc>
          <w:tcPr>
            <w:tcW w:w="3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have recorded a full valuation allowance against our net deferred tax assets due to the uncertainty surrounding the realization of such assets.</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Management has determined it more likely than not that the deferred tax assets are not realizable due to our historical loss position.</w:t>
      </w:r>
    </w:p>
    <w:p>
      <w:pPr>
        <w:spacing w:after="0" w:line="20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we had federal NOL carryforwards, of $31.2 million. As of December 31, 2024, we had federal research tax credit carryforwards of approximately $19.7 million. The federal research tax credit carryforwards will begin to expire in 2041.</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use of federal NOLs and research credits could be further limited if we experience one or more ownership changes subsequent to December 31, 2024. If a change in ownership occurs, NOLs and tax credit carryforwards could be eliminated or restricted. If eliminated, the related asset would be removed from the deferred tax asset schedule with a corresponding reduction in the valuation allowance. Due to the existence of the valuation allowance, limitations created by ownership changes, if any, will not impact our effective tax rate.</w:t>
      </w:r>
    </w:p>
    <w:p>
      <w:pPr>
        <w:spacing w:after="0" w:line="1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0900"/>
          </w:cols>
          <w:pgMar w:left="320" w:top="455" w:right="67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Biopharma Company,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reconciliation of the expected statutory federal income tax provision to our actual income tax provision:</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220" w:type="dxa"/>
            <w:vAlign w:val="bottom"/>
            <w:tcBorders>
              <w:bottom w:val="single" w:sz="8" w:color="CCEEFF"/>
            </w:tcBorders>
            <w:vMerge w:val="continue"/>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income tax benefit at federal statutory tax rate</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(34,378)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(22,292)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1,562</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1,837</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Research credits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(4,239)</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Change in the valuation allowance</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24,290</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xml:space="preserve">— </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As of December 31, 2024 and 2023, we had no unrecognized tax benefits that, if recognized and realized, would affect the effective tax rate due to the valuation allowance against deferred tax assets. The following table summarizes the activity related to our unrecognized tax benefits:</w:t>
      </w:r>
    </w:p>
    <w:p>
      <w:pPr>
        <w:spacing w:after="0" w:line="19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6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156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7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2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$2,450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$1,327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related to prior year tax positions</w:t>
            </w:r>
          </w:p>
        </w:tc>
        <w:tc>
          <w:tcPr>
            <w:tcW w:w="8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1,766</w:t>
            </w: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4,212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2,450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If recognized, these amounts would not affect our effective tax rate, since they would be offset by an equal corresponding adjustment in the deferred tax asset valuation allowance. We do not anticipate there will be a significant change in unrecognized tax benefits within the next 12 months.</w:t>
      </w:r>
    </w:p>
    <w:p>
      <w:pPr>
        <w:spacing w:after="0" w:line="14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policy is to recognize interest and penalties related to income tax matters in the provision for income taxes. As of December 31, 2024 and 2023, there were no interest or penalties on uncertain tax benefits.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have evaluated subsequent events to assess the need for potential recognition or disclosure in this report. Based upon this evaluation, it was determined that no additional subsequent events required recognition or disclosure in these combined financial statements.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F-23</w:t>
      </w:r>
    </w:p>
    <w:sectPr>
      <w:pgSz w:w="11900" w:h="16838" w:orient="portrait"/>
      <w:cols w:equalWidth="0" w:num="1">
        <w:col w:w="11060"/>
      </w:cols>
      <w:pgMar w:left="320" w:top="45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9BB77C"/>
    <w:multiLevelType w:val="hybridMultilevel"/>
    <w:lvl w:ilvl="0">
      <w:lvlJc w:val="left"/>
      <w:lvlText w:val="(%1)"/>
      <w:numFmt w:val="lowerLetter"/>
      <w:start w:val="2"/>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1)"/>
      <w:numFmt w:val="lowerRoman"/>
      <w:start w:val="1"/>
    </w:lvl>
  </w:abstractNum>
  <w:abstractNum w:abstractNumId="3">
    <w:nsid w:val="1CF10FD8"/>
    <w:multiLevelType w:val="hybridMultilevel"/>
    <w:lvl w:ilvl="0">
      <w:lvlJc w:val="left"/>
      <w:lvlText w:val="(%1)"/>
      <w:numFmt w:val="lowerRoman"/>
      <w:start w:val="1"/>
    </w:lvl>
  </w:abstractNum>
  <w:abstractNum w:abstractNumId="4">
    <w:nsid w:val="180115BE"/>
    <w:multiLevelType w:val="hybridMultilevel"/>
    <w:lvl w:ilvl="0">
      <w:lvlJc w:val="left"/>
      <w:lvlText w:val="(%1)"/>
      <w:numFmt w:val="lowerRoman"/>
      <w:start w:val="15"/>
    </w:lvl>
  </w:abstractNum>
  <w:abstractNum w:abstractNumId="5">
    <w:nsid w:val="235BA861"/>
    <w:multiLevelType w:val="hybridMultilevel"/>
    <w:lvl w:ilvl="0">
      <w:lvlJc w:val="left"/>
      <w:lvlText w:val="%1:"/>
      <w:numFmt w:val="upperLetter"/>
      <w:start w:val="1"/>
    </w:lvl>
  </w:abstractNum>
  <w:abstractNum w:abstractNumId="6">
    <w:nsid w:val="47398C89"/>
    <w:multiLevelType w:val="hybridMultilevel"/>
    <w:lvl w:ilvl="0">
      <w:lvlJc w:val="left"/>
      <w:lvlText w:val="%1:"/>
      <w:numFmt w:val="upperLetter"/>
      <w:start w:val="1"/>
    </w:lvl>
  </w:abstractNum>
  <w:abstractNum w:abstractNumId="7">
    <w:nsid w:val="354FE9F9"/>
    <w:multiLevelType w:val="hybridMultilevel"/>
    <w:lvl w:ilvl="0">
      <w:lvlJc w:val="left"/>
      <w:lvlText w:val="%1:"/>
      <w:numFmt w:val="upperLetter"/>
      <w:start w:val="1"/>
    </w:lvl>
  </w:abstractNum>
  <w:abstractNum w:abstractNumId="8">
    <w:nsid w:val="15B5AF5C"/>
    <w:multiLevelType w:val="hybridMultilevel"/>
    <w:lvl w:ilvl="0">
      <w:lvlJc w:val="left"/>
      <w:lvlText w:val="%1:"/>
      <w:numFmt w:val="upperLetter"/>
      <w:start w:val="1"/>
    </w:lvl>
  </w:abstractNum>
  <w:abstractNum w:abstractNumId="9">
    <w:nsid w:val="741226BB"/>
    <w:multiLevelType w:val="hybridMultilevel"/>
    <w:lvl w:ilvl="0">
      <w:lvlJc w:val="left"/>
      <w:lvlText w:val="%1:"/>
      <w:numFmt w:val="upperLetter"/>
      <w:start w:val="1"/>
    </w:lvl>
  </w:abstractNum>
  <w:abstractNum w:abstractNumId="10">
    <w:nsid w:val="D34B6A8"/>
    <w:multiLevelType w:val="hybridMultilevel"/>
    <w:lvl w:ilvl="0">
      <w:lvlJc w:val="left"/>
      <w:lvlText w:val="%1:"/>
      <w:numFmt w:val="upperLetter"/>
      <w:start w:val="1"/>
    </w:lvl>
  </w:abstractNum>
  <w:abstractNum w:abstractNumId="11">
    <w:nsid w:val="10233C99"/>
    <w:multiLevelType w:val="hybridMultilevel"/>
    <w:lvl w:ilvl="0">
      <w:lvlJc w:val="left"/>
      <w:lvlText w:val="%1:"/>
      <w:numFmt w:val="upperLetter"/>
      <w:start w:val="1"/>
    </w:lvl>
  </w:abstractNum>
  <w:abstractNum w:abstractNumId="12">
    <w:nsid w:val="3F6AB60F"/>
    <w:multiLevelType w:val="hybridMultilevel"/>
    <w:lvl w:ilvl="0">
      <w:lvlJc w:val="left"/>
      <w:lvlText w:val="%1:"/>
      <w:numFmt w:val="upperLetter"/>
      <w:start w:val="1"/>
    </w:lvl>
  </w:abstractNum>
  <w:abstractNum w:abstractNumId="13">
    <w:nsid w:val="61574095"/>
    <w:multiLevelType w:val="hybridMultilevel"/>
    <w:lvl w:ilvl="0">
      <w:lvlJc w:val="left"/>
      <w:lvlText w:val="%1:"/>
      <w:numFmt w:val="upperLetter"/>
      <w:start w:val="1"/>
    </w:lvl>
  </w:abstractNum>
  <w:abstractNum w:abstractNumId="14">
    <w:nsid w:val="7E0C57B1"/>
    <w:multiLevelType w:val="hybridMultilevel"/>
    <w:lvl w:ilvl="0">
      <w:lvlJc w:val="left"/>
      <w:lvlText w:val="%1:"/>
      <w:numFmt w:val="upperLetter"/>
      <w:start w:val="1"/>
    </w:lvl>
  </w:abstractNum>
  <w:abstractNum w:abstractNumId="15">
    <w:nsid w:val="77AE35EB"/>
    <w:multiLevelType w:val="hybridMultilevel"/>
    <w:lvl w:ilvl="0">
      <w:lvlJc w:val="left"/>
      <w:lvlText w:val="%1:"/>
      <w:numFmt w:val="upperLetter"/>
      <w:start w:val="1"/>
    </w:lvl>
  </w:abstractNum>
  <w:abstractNum w:abstractNumId="16">
    <w:nsid w:val="579BE4F1"/>
    <w:multiLevelType w:val="hybridMultilevel"/>
    <w:lvl w:ilvl="0">
      <w:lvlJc w:val="left"/>
      <w:lvlText w:val="%1:"/>
      <w:numFmt w:val="upperLetter"/>
      <w:start w:val="1"/>
    </w:lvl>
  </w:abstractNum>
  <w:abstractNum w:abstractNumId="17">
    <w:nsid w:val="310C50B3"/>
    <w:multiLevelType w:val="hybridMultilevel"/>
    <w:lvl w:ilvl="0">
      <w:lvlJc w:val="left"/>
      <w:lvlText w:val="%1:"/>
      <w:numFmt w:val="upperLetter"/>
      <w:start w:val="1"/>
    </w:lvl>
  </w:abstractNum>
  <w:abstractNum w:abstractNumId="18">
    <w:nsid w:val="5FF87E05"/>
    <w:multiLevelType w:val="hybridMultilevel"/>
    <w:lvl w:ilvl="0">
      <w:lvlJc w:val="left"/>
      <w:lvlText w:val="%1:"/>
      <w:numFmt w:val="upperLetter"/>
      <w:start w:val="1"/>
    </w:lvl>
  </w:abstractNum>
  <w:abstractNum w:abstractNumId="19">
    <w:nsid w:val="2F305DEF"/>
    <w:multiLevelType w:val="hybridMultilevel"/>
    <w:lvl w:ilvl="0">
      <w:lvlJc w:val="left"/>
      <w:lvlText w:val="%1:"/>
      <w:numFmt w:val="upperLetter"/>
      <w:start w:val="1"/>
    </w:lvl>
  </w:abstractNum>
  <w:abstractNum w:abstractNumId="20">
    <w:nsid w:val="25A70BF7"/>
    <w:multiLevelType w:val="hybridMultilevel"/>
    <w:lvl w:ilvl="0">
      <w:lvlJc w:val="left"/>
      <w:lvlText w:val="%1:"/>
      <w:numFmt w:val="upperLetter"/>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1)"/>
      <w:numFmt w:val="decimal"/>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1)"/>
      <w:numFmt w:val="lowerRoman"/>
      <w:start w:val="2"/>
    </w:lvl>
  </w:abstractNum>
  <w:abstractNum w:abstractNumId="46">
    <w:nsid w:val="8F2B15E"/>
    <w:multiLevelType w:val="hybridMultilevel"/>
    <w:lvl w:ilvl="0">
      <w:lvlJc w:val="left"/>
      <w:lvlText w:val="•"/>
      <w:numFmt w:val="bullet"/>
      <w:start w:val="1"/>
    </w:lvl>
  </w:abstractNum>
  <w:abstractNum w:abstractNumId="47">
    <w:nsid w:val="1A32234B"/>
    <w:multiLevelType w:val="hybridMultilevel"/>
    <w:lvl w:ilvl="0">
      <w:lvlJc w:val="left"/>
      <w:lvlText w:val="•"/>
      <w:numFmt w:val="bullet"/>
      <w:start w:val="1"/>
    </w:lvl>
  </w:abstractNum>
  <w:abstractNum w:abstractNumId="48">
    <w:nsid w:val="3B0FD379"/>
    <w:multiLevelType w:val="hybridMultilevel"/>
    <w:lvl w:ilvl="0">
      <w:lvlJc w:val="left"/>
      <w:lvlText w:val="•"/>
      <w:numFmt w:val="bullet"/>
      <w:start w:val="1"/>
    </w:lvl>
  </w:abstractNum>
  <w:abstractNum w:abstractNumId="49">
    <w:nsid w:val="68EB2F63"/>
    <w:multiLevelType w:val="hybridMultilevel"/>
    <w:lvl w:ilvl="0">
      <w:lvlJc w:val="left"/>
      <w:lvlText w:val="•"/>
      <w:numFmt w:val="bullet"/>
      <w:start w:val="1"/>
    </w:lvl>
  </w:abstractNum>
  <w:abstractNum w:abstractNumId="50">
    <w:nsid w:val="4962813B"/>
    <w:multiLevelType w:val="hybridMultilevel"/>
    <w:lvl w:ilvl="0">
      <w:lvlJc w:val="left"/>
      <w:lvlText w:val="•"/>
      <w:numFmt w:val="bullet"/>
      <w:start w:val="1"/>
    </w:lvl>
  </w:abstractNum>
  <w:abstractNum w:abstractNumId="51">
    <w:nsid w:val="60B6DF70"/>
    <w:multiLevelType w:val="hybridMultilevel"/>
    <w:lvl w:ilvl="0">
      <w:lvlJc w:val="left"/>
      <w:lvlText w:val="•"/>
      <w:numFmt w:val="bullet"/>
      <w:start w:val="1"/>
    </w:lvl>
  </w:abstractNum>
  <w:abstractNum w:abstractNumId="52">
    <w:nsid w:val="6A5EE64"/>
    <w:multiLevelType w:val="hybridMultilevel"/>
    <w:lvl w:ilvl="0">
      <w:lvlJc w:val="left"/>
      <w:lvlText w:val="•"/>
      <w:numFmt w:val="bullet"/>
      <w:start w:val="1"/>
    </w:lvl>
  </w:abstractNum>
  <w:abstractNum w:abstractNumId="53">
    <w:nsid w:val="14330624"/>
    <w:multiLevelType w:val="hybridMultilevel"/>
    <w:lvl w:ilvl="0">
      <w:lvlJc w:val="left"/>
      <w:lvlText w:val="•"/>
      <w:numFmt w:val="bullet"/>
      <w:start w:val="1"/>
    </w:lvl>
  </w:abstractNum>
  <w:abstractNum w:abstractNumId="54">
    <w:nsid w:val="7FFFCA11"/>
    <w:multiLevelType w:val="hybridMultilevel"/>
    <w:lvl w:ilvl="0">
      <w:lvlJc w:val="left"/>
      <w:lvlText w:val="•"/>
      <w:numFmt w:val="bullet"/>
      <w:start w:val="1"/>
    </w:lvl>
  </w:abstractNum>
  <w:abstractNum w:abstractNumId="55">
    <w:nsid w:val="1A27709E"/>
    <w:multiLevelType w:val="hybridMultilevel"/>
    <w:lvl w:ilvl="0">
      <w:lvlJc w:val="left"/>
      <w:lvlText w:val="•"/>
      <w:numFmt w:val="bullet"/>
      <w:start w:val="1"/>
    </w:lvl>
  </w:abstractNum>
  <w:abstractNum w:abstractNumId="56">
    <w:nsid w:val="71EA1109"/>
    <w:multiLevelType w:val="hybridMultilevel"/>
    <w:lvl w:ilvl="0">
      <w:lvlJc w:val="left"/>
      <w:lvlText w:val="•"/>
      <w:numFmt w:val="bullet"/>
      <w:start w:val="1"/>
    </w:lvl>
  </w:abstractNum>
  <w:abstractNum w:abstractNumId="57">
    <w:nsid w:val="100F59DC"/>
    <w:multiLevelType w:val="hybridMultilevel"/>
    <w:lvl w:ilvl="0">
      <w:lvlJc w:val="left"/>
      <w:lvlText w:val="•"/>
      <w:numFmt w:val="bullet"/>
      <w:start w:val="1"/>
    </w:lvl>
  </w:abstractNum>
  <w:abstractNum w:abstractNumId="58">
    <w:nsid w:val="7FB7E0AA"/>
    <w:multiLevelType w:val="hybridMultilevel"/>
    <w:lvl w:ilvl="0">
      <w:lvlJc w:val="left"/>
      <w:lvlText w:val="•"/>
      <w:numFmt w:val="bullet"/>
      <w:start w:val="1"/>
    </w:lvl>
  </w:abstractNum>
  <w:abstractNum w:abstractNumId="59">
    <w:nsid w:val="6EB5BD4"/>
    <w:multiLevelType w:val="hybridMultilevel"/>
    <w:lvl w:ilvl="0">
      <w:lvlJc w:val="left"/>
      <w:lvlText w:val="•"/>
      <w:numFmt w:val="bullet"/>
      <w:start w:val="1"/>
    </w:lvl>
  </w:abstractNum>
  <w:abstractNum w:abstractNumId="60">
    <w:nsid w:val="6F6DD9AC"/>
    <w:multiLevelType w:val="hybridMultilevel"/>
    <w:lvl w:ilvl="0">
      <w:lvlJc w:val="left"/>
      <w:lvlText w:val="•"/>
      <w:numFmt w:val="bullet"/>
      <w:start w:val="1"/>
    </w:lvl>
  </w:abstractNum>
  <w:abstractNum w:abstractNumId="61">
    <w:nsid w:val="94211F2"/>
    <w:multiLevelType w:val="hybridMultilevel"/>
    <w:lvl w:ilvl="0">
      <w:lvlJc w:val="left"/>
      <w:lvlText w:val="•"/>
      <w:numFmt w:val="bullet"/>
      <w:start w:val="1"/>
    </w:lvl>
  </w:abstractNum>
  <w:abstractNum w:abstractNumId="62">
    <w:nsid w:val="885E1B"/>
    <w:multiLevelType w:val="hybridMultilevel"/>
    <w:lvl w:ilvl="0">
      <w:lvlJc w:val="left"/>
      <w:lvlText w:val="•"/>
      <w:numFmt w:val="bullet"/>
      <w:start w:val="1"/>
    </w:lvl>
  </w:abstractNum>
  <w:abstractNum w:abstractNumId="63">
    <w:nsid w:val="76272110"/>
    <w:multiLevelType w:val="hybridMultilevel"/>
    <w:lvl w:ilvl="0">
      <w:lvlJc w:val="left"/>
      <w:lvlText w:val="•"/>
      <w:numFmt w:val="bullet"/>
      <w:start w:val="1"/>
    </w:lvl>
  </w:abstractNum>
  <w:abstractNum w:abstractNumId="64">
    <w:nsid w:val="4C04A8AF"/>
    <w:multiLevelType w:val="hybridMultilevel"/>
    <w:lvl w:ilvl="0">
      <w:lvlJc w:val="left"/>
      <w:lvlText w:val="•"/>
      <w:numFmt w:val="bullet"/>
      <w:start w:val="1"/>
    </w:lvl>
  </w:abstractNum>
  <w:abstractNum w:abstractNumId="65">
    <w:nsid w:val="1716703B"/>
    <w:multiLevelType w:val="hybridMultilevel"/>
    <w:lvl w:ilvl="0">
      <w:lvlJc w:val="left"/>
      <w:lvlText w:val="•"/>
      <w:numFmt w:val="bullet"/>
      <w:start w:val="1"/>
    </w:lvl>
  </w:abstractNum>
  <w:abstractNum w:abstractNumId="66">
    <w:nsid w:val="14E17E33"/>
    <w:multiLevelType w:val="hybridMultilevel"/>
    <w:lvl w:ilvl="0">
      <w:lvlJc w:val="left"/>
      <w:lvlText w:val="•"/>
      <w:numFmt w:val="bullet"/>
      <w:start w:val="1"/>
    </w:lvl>
  </w:abstractNum>
  <w:abstractNum w:abstractNumId="67">
    <w:nsid w:val="3222E7CD"/>
    <w:multiLevelType w:val="hybridMultilevel"/>
    <w:lvl w:ilvl="0">
      <w:lvlJc w:val="left"/>
      <w:lvlText w:val="•"/>
      <w:numFmt w:val="bullet"/>
      <w:start w:val="1"/>
    </w:lvl>
  </w:abstractNum>
  <w:abstractNum w:abstractNumId="68">
    <w:nsid w:val="74DE0EE3"/>
    <w:multiLevelType w:val="hybridMultilevel"/>
    <w:lvl w:ilvl="0">
      <w:lvlJc w:val="left"/>
      <w:lvlText w:val="•"/>
      <w:numFmt w:val="bullet"/>
      <w:start w:val="1"/>
    </w:lvl>
  </w:abstractNum>
  <w:abstractNum w:abstractNumId="69">
    <w:nsid w:val="68EBC550"/>
    <w:multiLevelType w:val="hybridMultilevel"/>
    <w:lvl w:ilvl="0">
      <w:lvlJc w:val="left"/>
      <w:lvlText w:val="(%1)"/>
      <w:numFmt w:val="decimal"/>
      <w:start w:val="2"/>
    </w:lvl>
  </w:abstractNum>
  <w:abstractNum w:abstractNumId="70">
    <w:nsid w:val="2DF6D648"/>
    <w:multiLevelType w:val="hybridMultilevel"/>
    <w:lvl w:ilvl="0">
      <w:lvlJc w:val="left"/>
      <w:lvlText w:val="(%1)"/>
      <w:numFmt w:val="decimal"/>
      <w:start w:val="3"/>
    </w:lvl>
  </w:abstractNum>
  <w:abstractNum w:abstractNumId="71">
    <w:nsid w:val="46B7D447"/>
    <w:multiLevelType w:val="hybridMultilevel"/>
    <w:lvl w:ilvl="0">
      <w:lvlJc w:val="left"/>
      <w:lvlText w:val="(%1)"/>
      <w:numFmt w:val="decimal"/>
      <w:start w:val="5"/>
    </w:lvl>
  </w:abstractNum>
  <w:abstractNum w:abstractNumId="72">
    <w:nsid w:val="4A2AC315"/>
    <w:multiLevelType w:val="hybridMultilevel"/>
    <w:lvl w:ilvl="0">
      <w:lvlJc w:val="left"/>
      <w:lvlText w:val="(%1)"/>
      <w:numFmt w:val="decimal"/>
      <w:start w:val="1"/>
    </w:lvl>
  </w:abstractNum>
  <w:abstractNum w:abstractNumId="73">
    <w:nsid w:val="39EE015C"/>
    <w:multiLevelType w:val="hybridMultilevel"/>
    <w:lvl w:ilvl="0">
      <w:lvlJc w:val="left"/>
      <w:lvlText w:val="•"/>
      <w:numFmt w:val="bullet"/>
      <w:start w:val="1"/>
    </w:lvl>
  </w:abstractNum>
  <w:abstractNum w:abstractNumId="74">
    <w:nsid w:val="57FC4FBB"/>
    <w:multiLevelType w:val="hybridMultilevel"/>
    <w:lvl w:ilvl="0">
      <w:lvlJc w:val="left"/>
      <w:lvlText w:val="•"/>
      <w:numFmt w:val="bullet"/>
      <w:start w:val="1"/>
    </w:lvl>
  </w:abstractNum>
  <w:abstractNum w:abstractNumId="75">
    <w:nsid w:val="CC1016F"/>
    <w:multiLevelType w:val="hybridMultilevel"/>
    <w:lvl w:ilvl="0">
      <w:lvlJc w:val="left"/>
      <w:lvlText w:val="(%1)"/>
      <w:numFmt w:val="decimal"/>
      <w:start w:val="1"/>
    </w:lvl>
  </w:abstractNum>
  <w:abstractNum w:abstractNumId="76">
    <w:nsid w:val="43F18422"/>
    <w:multiLevelType w:val="hybridMultilevel"/>
    <w:lvl w:ilvl="0">
      <w:lvlJc w:val="left"/>
      <w:lvlText w:val="•"/>
      <w:numFmt w:val="bullet"/>
      <w:start w:val="1"/>
    </w:lvl>
  </w:abstractNum>
  <w:abstractNum w:abstractNumId="77">
    <w:nsid w:val="60EF0119"/>
    <w:multiLevelType w:val="hybridMultilevel"/>
    <w:lvl w:ilvl="0">
      <w:lvlJc w:val="left"/>
      <w:lvlText w:val="(%1)"/>
      <w:numFmt w:val="lowerRoman"/>
      <w:start w:val="4"/>
    </w:lvl>
  </w:abstractNum>
  <w:abstractNum w:abstractNumId="78">
    <w:nsid w:val="26F324BA"/>
    <w:multiLevelType w:val="hybridMultilevel"/>
    <w:lvl w:ilvl="0">
      <w:lvlJc w:val="left"/>
      <w:lvlText w:val="•"/>
      <w:numFmt w:val="bullet"/>
      <w:start w:val="1"/>
    </w:lvl>
  </w:abstractNum>
  <w:abstractNum w:abstractNumId="79">
    <w:nsid w:val="7F01579B"/>
    <w:multiLevelType w:val="hybridMultilevel"/>
    <w:lvl w:ilvl="0">
      <w:lvlJc w:val="left"/>
      <w:lvlText w:val="•"/>
      <w:numFmt w:val="bullet"/>
      <w:start w:val="1"/>
    </w:lvl>
  </w:abstractNum>
  <w:abstractNum w:abstractNumId="80">
    <w:nsid w:val="49DA307D"/>
    <w:multiLevelType w:val="hybridMultilevel"/>
    <w:lvl w:ilvl="0">
      <w:lvlJc w:val="left"/>
      <w:lvlText w:val="•"/>
      <w:numFmt w:val="bullet"/>
      <w:start w:val="1"/>
    </w:lvl>
  </w:abstractNum>
  <w:abstractNum w:abstractNumId="81">
    <w:nsid w:val="7055A5F5"/>
    <w:multiLevelType w:val="hybridMultilevel"/>
    <w:lvl w:ilvl="0">
      <w:lvlJc w:val="left"/>
      <w:lvlText w:val="•"/>
      <w:numFmt w:val="bullet"/>
      <w:start w:val="1"/>
    </w:lvl>
  </w:abstractNum>
  <w:abstractNum w:abstractNumId="82">
    <w:nsid w:val="5FB8370B"/>
    <w:multiLevelType w:val="hybridMultilevel"/>
    <w:lvl w:ilvl="0">
      <w:lvlJc w:val="left"/>
      <w:lvlText w:val="•"/>
      <w:numFmt w:val="bullet"/>
      <w:start w:val="1"/>
    </w:lvl>
  </w:abstractNum>
  <w:abstractNum w:abstractNumId="83">
    <w:nsid w:val="50801EE1"/>
    <w:multiLevelType w:val="hybridMultilevel"/>
    <w:lvl w:ilvl="0">
      <w:lvlJc w:val="left"/>
      <w:lvlText w:val="•"/>
      <w:numFmt w:val="bullet"/>
      <w:start w:val="1"/>
    </w:lvl>
  </w:abstractNum>
  <w:abstractNum w:abstractNumId="84">
    <w:nsid w:val="488AC1A"/>
    <w:multiLevelType w:val="hybridMultilevel"/>
    <w:lvl w:ilvl="0">
      <w:lvlJc w:val="left"/>
      <w:lvlText w:val="•"/>
      <w:numFmt w:val="bullet"/>
      <w:start w:val="1"/>
    </w:lvl>
  </w:abstractNum>
  <w:abstractNum w:abstractNumId="85">
    <w:nsid w:val="5FB8011C"/>
    <w:multiLevelType w:val="hybridMultilevel"/>
    <w:lvl w:ilvl="0">
      <w:lvlJc w:val="left"/>
      <w:lvlText w:val="(%1)"/>
      <w:numFmt w:val="decimal"/>
      <w:start w:val="1"/>
    </w:lvl>
  </w:abstractNum>
  <w:abstractNum w:abstractNumId="86">
    <w:nsid w:val="6AA78F7F"/>
    <w:multiLevelType w:val="hybridMultilevel"/>
    <w:lvl w:ilvl="0">
      <w:lvlJc w:val="left"/>
      <w:lvlText w:val="(%1)"/>
      <w:numFmt w:val="lowerRoman"/>
      <w:start w:val="4"/>
    </w:lvl>
  </w:abstractNum>
  <w:abstractNum w:abstractNumId="87">
    <w:nsid w:val="7672BD23"/>
    <w:multiLevelType w:val="hybridMultilevel"/>
    <w:lvl w:ilvl="0">
      <w:lvlJc w:val="left"/>
      <w:lvlText w:val="(%1)"/>
      <w:numFmt w:val="decimal"/>
      <w:start w:val="1"/>
    </w:lvl>
  </w:abstractNum>
  <w:abstractNum w:abstractNumId="88">
    <w:nsid w:val="6FC75AF8"/>
    <w:multiLevelType w:val="hybridMultilevel"/>
    <w:lvl w:ilvl="0">
      <w:lvlJc w:val="left"/>
      <w:lvlText w:val="(%1)"/>
      <w:numFmt w:val="decimal"/>
      <w:start w:val="5"/>
    </w:lvl>
  </w:abstractNum>
  <w:abstractNum w:abstractNumId="89">
    <w:nsid w:val="6A5F7029"/>
    <w:multiLevelType w:val="hybridMultilevel"/>
    <w:lvl w:ilvl="0">
      <w:lvlJc w:val="left"/>
      <w:lvlText w:val="%1."/>
      <w:numFmt w:val="lowerRoman"/>
      <w:start w:val="1"/>
    </w:lvl>
  </w:abstractNum>
  <w:abstractNum w:abstractNumId="90">
    <w:nsid w:val="7D5E18F8"/>
    <w:multiLevelType w:val="hybridMultilevel"/>
    <w:lvl w:ilvl="0">
      <w:lvlJc w:val="left"/>
      <w:lvlText w:val="(%1)"/>
      <w:numFmt w:val="decimal"/>
      <w:start w:val="12"/>
    </w:lvl>
  </w:abstractNum>
  <w:abstractNum w:abstractNumId="91">
    <w:nsid w:val="5F3534A4"/>
    <w:multiLevelType w:val="hybridMultilevel"/>
    <w:lvl w:ilvl="0">
      <w:lvlJc w:val="left"/>
      <w:lvlText w:val="(%1)"/>
      <w:numFmt w:val="decimal"/>
      <w:start w:val="1"/>
    </w:lvl>
  </w:abstractNum>
  <w:abstractNum w:abstractNumId="92">
    <w:nsid w:val="73A1821B"/>
    <w:multiLevelType w:val="hybridMultilevel"/>
    <w:lvl w:ilvl="0">
      <w:lvlJc w:val="left"/>
      <w:lvlText w:val="•"/>
      <w:numFmt w:val="bullet"/>
      <w:start w:val="1"/>
    </w:lvl>
  </w:abstractNum>
  <w:abstractNum w:abstractNumId="93">
    <w:nsid w:val="7DE67713"/>
    <w:multiLevelType w:val="hybridMultilevel"/>
    <w:lvl w:ilvl="0">
      <w:lvlJc w:val="left"/>
      <w:lvlText w:val="•"/>
      <w:numFmt w:val="bullet"/>
      <w:start w:val="1"/>
    </w:lvl>
  </w:abstractNum>
  <w:abstractNum w:abstractNumId="94">
    <w:nsid w:val="555C55B5"/>
    <w:multiLevelType w:val="hybridMultilevel"/>
    <w:lvl w:ilvl="0">
      <w:lvlJc w:val="left"/>
      <w:lvlText w:val="*"/>
      <w:numFmt w:val="bullet"/>
      <w:start w:val="1"/>
    </w:lvl>
  </w:abstractNum>
  <w:abstractNum w:abstractNumId="95">
    <w:nsid w:val="3FA62ACA"/>
    <w:multiLevelType w:val="hybridMultilevel"/>
    <w:lvl w:ilvl="0">
      <w:lvlJc w:val="left"/>
      <w:lvlText w:val="(%1)"/>
      <w:numFmt w:val="decimal"/>
      <w:start w:val="1"/>
    </w:lvl>
  </w:abstractNum>
  <w:abstractNum w:abstractNumId="96">
    <w:nsid w:val="14FCE74E"/>
    <w:multiLevelType w:val="hybridMultilevel"/>
    <w:lvl w:ilvl="0">
      <w:lvlJc w:val="left"/>
      <w:lvlText w:val="•"/>
      <w:numFmt w:val="bullet"/>
      <w:start w:val="1"/>
    </w:lvl>
  </w:abstractNum>
  <w:abstractNum w:abstractNumId="97">
    <w:nsid w:val="6A3DD3E8"/>
    <w:multiLevelType w:val="hybridMultilevel"/>
    <w:lvl w:ilvl="0">
      <w:lvlJc w:val="left"/>
      <w:lvlText w:val="•"/>
      <w:numFmt w:val="bullet"/>
      <w:start w:val="1"/>
    </w:lvl>
  </w:abstractNum>
  <w:abstractNum w:abstractNumId="98">
    <w:nsid w:val="71C91298"/>
    <w:multiLevelType w:val="hybridMultilevel"/>
    <w:lvl w:ilvl="0">
      <w:lvlJc w:val="left"/>
      <w:lvlText w:val="•"/>
      <w:numFmt w:val="bullet"/>
      <w:start w:val="1"/>
    </w:lvl>
  </w:abstractNum>
  <w:abstractNum w:abstractNumId="99">
    <w:nsid w:val="9DAF632"/>
    <w:multiLevelType w:val="hybridMultilevel"/>
    <w:lvl w:ilvl="0">
      <w:lvlJc w:val="left"/>
      <w:lvlText w:val="•"/>
      <w:numFmt w:val="bullet"/>
      <w:start w:val="1"/>
    </w:lvl>
  </w:abstractNum>
  <w:abstractNum w:abstractNumId="100">
    <w:nsid w:val="53299938"/>
    <w:multiLevelType w:val="hybridMultilevel"/>
    <w:lvl w:ilvl="0">
      <w:lvlJc w:val="left"/>
      <w:lvlText w:val="•"/>
      <w:numFmt w:val="bullet"/>
      <w:start w:val="1"/>
    </w:lvl>
  </w:abstractNum>
  <w:abstractNum w:abstractNumId="101">
    <w:nsid w:val="1FBFE8E0"/>
    <w:multiLevelType w:val="hybridMultilevel"/>
    <w:lvl w:ilvl="0">
      <w:lvlJc w:val="left"/>
      <w:lvlText w:val="•"/>
      <w:numFmt w:val="bullet"/>
      <w:start w:val="1"/>
    </w:lvl>
  </w:abstractNum>
  <w:abstractNum w:abstractNumId="102">
    <w:nsid w:val="5092CA79"/>
    <w:multiLevelType w:val="hybridMultilevel"/>
    <w:lvl w:ilvl="0">
      <w:lvlJc w:val="left"/>
      <w:lvlText w:val="•"/>
      <w:numFmt w:val="bullet"/>
      <w:start w:val="1"/>
    </w:lvl>
  </w:abstractNum>
  <w:abstractNum w:abstractNumId="103">
    <w:nsid w:val="1D545C4D"/>
    <w:multiLevelType w:val="hybridMultilevel"/>
    <w:lvl w:ilvl="0">
      <w:lvlJc w:val="left"/>
      <w:lvlText w:val="•"/>
      <w:numFmt w:val="bullet"/>
      <w:start w:val="1"/>
    </w:lvl>
  </w:abstractNum>
  <w:abstractNum w:abstractNumId="104">
    <w:nsid w:val="59ADEA3D"/>
    <w:multiLevelType w:val="hybridMultilevel"/>
    <w:lvl w:ilvl="0">
      <w:lvlJc w:val="left"/>
      <w:lvlText w:val="•"/>
      <w:numFmt w:val="bullet"/>
      <w:start w:val="1"/>
    </w:lvl>
  </w:abstractNum>
  <w:abstractNum w:abstractNumId="105">
    <w:nsid w:val="288F1A34"/>
    <w:multiLevelType w:val="hybridMultilevel"/>
    <w:lvl w:ilvl="0">
      <w:lvlJc w:val="left"/>
      <w:lvlText w:val="•"/>
      <w:numFmt w:val="bullet"/>
      <w:start w:val="1"/>
    </w:lvl>
  </w:abstractNum>
  <w:abstractNum w:abstractNumId="106">
    <w:nsid w:val="2A155DBC"/>
    <w:multiLevelType w:val="hybridMultilevel"/>
    <w:lvl w:ilvl="0">
      <w:lvlJc w:val="left"/>
      <w:lvlText w:val="(%1)"/>
      <w:numFmt w:val="decimal"/>
      <w:start w:val="1"/>
    </w:lvl>
  </w:abstractNum>
  <w:abstractNum w:abstractNumId="107">
    <w:nsid w:val="1D9F6E5F"/>
    <w:multiLevelType w:val="hybridMultilevel"/>
    <w:lvl w:ilvl="0">
      <w:lvlJc w:val="left"/>
      <w:lvlText w:val="(%1)"/>
      <w:numFmt w:val="decimal"/>
      <w:start w:val="1"/>
    </w:lvl>
  </w:abstractNum>
  <w:abstractNum w:abstractNumId="108">
    <w:nsid w:val="97E1B4E"/>
    <w:multiLevelType w:val="hybridMultilevel"/>
    <w:lvl w:ilvl="0">
      <w:lvlJc w:val="left"/>
      <w:lvlText w:val="(%1)"/>
      <w:numFmt w:val="decimal"/>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2026-03-03T23:17:18Z</dcterms:created>
  <dcterms:modified xsi:type="dcterms:W3CDTF">2026-03-03T23:17:18Z</dcterms:modified>
</cp:coreProperties>
</file>