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40507.xml.htm"/>
      <w:bookmarkStart w:id="1" w:name="ksform405142026_0405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Faga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Tracks Biotherapeutics, Inc.</w:t>
              </w:r>
            </w:hyperlink>
            <w:r>
              <w:rPr/>
              <w:t xml:space="preserve"> [ </w:t>
            </w:r>
            <w:r>
              <w:rPr>
                <w:rFonts w:ascii="Times;serif" w:hAnsi="Times;serif"/>
                <w:color w:val="0000FF"/>
                <w:sz w:val="24"/>
                <w:shd w:fill="FFFFFF" w:val="clear"/>
              </w:rPr>
              <w:t>TRAX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17.81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271,100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271,100</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vests as to 25% of the total RSUs annually commencing on May 12, 2027 until fully vested,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vests as to 25% of the total shares on May 12, 2027, and thereafter vests as to 1/48 of the total shares monthly until fully vested,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addition to the options to purchase a total of 271,100 shares of common stock as set forth in Table II, the Reporting Person also holds additional options to purchase up to an aggregate of 1,035,941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Ajim Tamboli,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3528" TargetMode="External"/><Relationship Id="rId5" Type="http://schemas.openxmlformats.org/officeDocument/2006/relationships/hyperlink" Target="http://www.sec.gov/cgi-bin/browse-edgar?action=getcompany&amp;CIK=0002091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3906</Characters>
  <CharactersWithSpaces>4571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