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72026_040619.xml.htm"/>
      <w:bookmarkStart w:id="1" w:name="ksform406172026_0406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Ware J.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award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vests as to 100% of the total RSUs on June 15, 2026, subject to the Reporting Person's provision of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429" TargetMode="External"/><Relationship Id="rId5" Type="http://schemas.openxmlformats.org/officeDocument/2006/relationships/hyperlink" Target="http://www.sec.gov/cgi-bin/browse-edgar?action=getcompany&amp;CIK=00020913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3371</Characters>
  <CharactersWithSpaces>3931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