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Tracks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3,174,519.00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3,174,519.00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3,174,519.00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34,892,381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April 20,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00"/>
          </w:cols>
          <w:pgMar w:left="320" w:top="102" w:right="47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3,174,519.00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3,174,519.00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3,174,519.00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940"/>
          </w:cols>
          <w:pgMar w:left="320" w:top="102" w:right="4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00"/>
          </w:cols>
          <w:pgMar w:left="320" w:top="102" w:right="479" w:bottom="0" w:gutter="0" w:footer="0" w:header="0"/>
          <w:type w:val="continuous"/>
        </w:sectPr>
      </w:pPr>
    </w:p>
    <w:bookmarkStart w:id="2" w:name="page3"/>
    <w:bookmarkEnd w:id="2"/>
    <w:p>
      <w:pPr>
        <w:ind w:left="1160" w:right="564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34,892,381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April 20,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00"/>
          </w:cols>
          <w:pgMar w:left="320" w:top="111" w:right="47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2,981,908.00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2,981,908.00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2,981,908.00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34,892,381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April 20,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11" w:right="4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00"/>
          </w:cols>
          <w:pgMar w:left="320" w:top="111" w:right="4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First Tracks Biotherapeutics,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ectPr>
          <w:pgSz w:w="11900" w:h="16838" w:orient="portrait"/>
          <w:cols w:equalWidth="0" w:num="1">
            <w:col w:w="11060"/>
          </w:cols>
          <w:pgMar w:left="360" w:top="355" w:right="479" w:bottom="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355" w:right="47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259"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EcoR1: 3,174,519 Oleg Nodelman: 3,174,519 Qualified Fund: 2,981,908 The reporting persons received 7,880,094 shares of the Issuer's Common Stock on April 20, 2026, as a distribution from AnaptysBio, Inc. On the date of the distribution, the reporting persons sold an aggregate of 4,705,575 of those shares in a private placement.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9.1% Oleg Nodelman: 9.1% Qualified Fund: 8.5%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3,174,519 Oleg Nodelman: 3,174,519 Qualified Fund: 2,981,908</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060"/>
          </w:cols>
          <w:pgMar w:left="360" w:top="355"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3,174,519 Oleg Nodelman: 3,174,519 Qualified Fund: 2,981,908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248"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08"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 AGREEMENT REGARDING JOINT FILING OF STATEMENT ON SCHEDULE 13D OR 13G</w:t>
      </w:r>
    </w:p>
    <w:p>
      <w:pPr>
        <w:sectPr>
          <w:pgSz w:w="11900" w:h="16838" w:orient="portrait"/>
          <w:cols w:equalWidth="0" w:num="1">
            <w:col w:w="11140"/>
          </w:cols>
          <w:pgMar w:left="360" w:top="355" w:right="399" w:bottom="248"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22,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2026-04-22T16:11:16Z</dcterms:created>
  <dcterms:modified xsi:type="dcterms:W3CDTF">2026-04-22T16:11:16Z</dcterms:modified>
</cp:coreProperties>
</file>