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ax_424b3_supplement_no.htm"/>
      <w:bookmarkStart w:id="1" w:name="kstrax_424b3_supplement_no"/>
      <w:bookmarkEnd w:id="0"/>
      <w:bookmarkEnd w:id="1"/>
      <w:r>
        <w:rPr/>
        <w:t> </w:t>
      </w:r>
    </w:p>
    <w:p>
      <w:pPr>
        <w:pStyle w:val="TextBody"/>
        <w:bidi w:val="0"/>
        <w:jc w:val="right"/>
        <w:rPr>
          <w:rFonts w:ascii="Times New Roman" w:hAnsi="Times New Roman"/>
          <w:color w:val="000000"/>
          <w:sz w:val="22"/>
        </w:rPr>
      </w:pPr>
      <w:r>
        <w:rPr>
          <w:rFonts w:ascii="Times New Roman" w:hAnsi="Times New Roman"/>
          <w:color w:val="000000"/>
          <w:sz w:val="22"/>
        </w:rPr>
        <w:t>Filed pursuant to Rule 434(b)(3)</w:t>
      </w:r>
    </w:p>
    <w:p>
      <w:pPr>
        <w:pStyle w:val="TextBody"/>
        <w:bidi w:val="0"/>
        <w:jc w:val="right"/>
        <w:rPr>
          <w:rFonts w:ascii="Times New Roman" w:hAnsi="Times New Roman"/>
          <w:color w:val="000000"/>
          <w:sz w:val="22"/>
        </w:rPr>
      </w:pPr>
      <w:r>
        <w:rPr>
          <w:rFonts w:ascii="Times New Roman" w:hAnsi="Times New Roman"/>
          <w:color w:val="000000"/>
          <w:sz w:val="22"/>
        </w:rPr>
        <w:t>File No. 333-295719</w:t>
      </w:r>
    </w:p>
    <w:p>
      <w:pPr>
        <w:pStyle w:val="TextBody"/>
        <w:bidi w:val="0"/>
        <w:jc w:val="left"/>
        <w:rPr>
          <w:rFonts w:ascii="Times New Roman" w:hAnsi="Times New Roman"/>
          <w:b/>
          <w:color w:val="000000"/>
          <w:sz w:val="22"/>
        </w:rPr>
      </w:pPr>
      <w:r>
        <w:rPr>
          <w:rFonts w:ascii="Times New Roman" w:hAnsi="Times New Roman"/>
          <w:b/>
          <w:color w:val="000000"/>
          <w:sz w:val="22"/>
        </w:rPr>
        <w:t>Prospectus Supplement No. 2</w:t>
      </w:r>
    </w:p>
    <w:p>
      <w:pPr>
        <w:pStyle w:val="TextBody"/>
        <w:bidi w:val="0"/>
        <w:jc w:val="left"/>
        <w:rPr>
          <w:rFonts w:ascii="Times New Roman" w:hAnsi="Times New Roman"/>
          <w:b/>
          <w:color w:val="000000"/>
          <w:sz w:val="22"/>
        </w:rPr>
      </w:pPr>
      <w:r>
        <w:rPr>
          <w:rFonts w:ascii="Times New Roman" w:hAnsi="Times New Roman"/>
          <w:b/>
          <w:color w:val="000000"/>
          <w:sz w:val="22"/>
        </w:rPr>
        <w:t>to Prospectus Dated May 14, 2026</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First Tracks Biotherapeutics,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supplements information contained in the prospectus dated May 14, 2026 (the “Prospectus”), relating to the sale by the selling stockholders named in this prospectus (the “Selling Stockholders”) of up to 10,497,054 shares of common stock of First Tracks Biotherapeutics, Inc. (“First Tracks Biotherapeutics,” “we,” “us,” “our” or the “Company”), par value $0.001 per share (the “Resale Shares”). We will not receive any proceeds from the sale of the Resale Shares. The Selling Stockholders may sell their Resale Shares at prevailing market prices or in privately negotiated transactions.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should be read in conjunction with, and may not be delivered or utilized without, the Prospectus. This prospectus supplement is qualified by reference to the Prospectus, except to the extent that the information in this prospectus supplement supersedes the information contained in the Prospectus.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The securities offered hereby involve risks and uncertainties. These risks are described under the caption “Risk Factors” beginning on page 11 of the Prospectus.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incorporates into the Prospectus the information contained in our attached Quarterly Report on Form 10-Q for the quarterly period ended June 30, 2026, filed with the Securities and Exchange on August 12, 2026.</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date of this prospectus supplement is August 13,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001-43177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3031"/>
        <w:gridCol w:w="124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10770 Wateridge Circle, Suite 210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362-6295</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42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August 7, 2026, there were 35,730,843 shares of the Registrant’s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8895"/>
        <w:gridCol w:w="512"/>
      </w:tblGrid>
      <w:tr>
        <w:trPr/>
        <w:tc>
          <w:tcPr>
            <w:tcW w:w="798" w:type="dxa"/>
            <w:tcBorders/>
            <w:vAlign w:val="center"/>
          </w:tcPr>
          <w:p>
            <w:pPr>
              <w:pStyle w:val="TableContents"/>
              <w:bidi w:val="0"/>
              <w:spacing w:before="0" w:after="283"/>
              <w:jc w:val="left"/>
              <w:rPr>
                <w:sz w:val="4"/>
                <w:szCs w:val="4"/>
              </w:rPr>
            </w:pPr>
            <w:r>
              <w:rPr>
                <w:sz w:val="4"/>
                <w:szCs w:val="4"/>
              </w:rPr>
            </w:r>
          </w:p>
        </w:tc>
        <w:tc>
          <w:tcPr>
            <w:tcW w:w="889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PART I.</w:t>
            </w:r>
            <w:hyperlink w:anchor="part_i_financial_information">
              <w:r>
                <w:rPr>
                  <w:rStyle w:val="InternetLink"/>
                  <w:rFonts w:ascii="Times New Roman" w:hAnsi="Times New Roman"/>
                  <w:color w:val="000000"/>
                  <w:sz w:val="20"/>
                </w:rPr>
                <w:t xml:space="preserve"> </w:t>
              </w:r>
            </w:hyperlink>
            <w:hyperlink w:anchor="part_i_financial_information">
              <w:r>
                <w:rPr>
                  <w:rStyle w:val="InternetLink"/>
                  <w:rFonts w:ascii="Times New Roman" w:hAnsi="Times New Roman"/>
                  <w:b/>
                  <w:color w:val="000000"/>
                  <w:sz w:val="20"/>
                </w:rPr>
                <w:t>FINANCIAL INFORMATION</w:t>
              </w:r>
            </w:hyperlink>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Times New Roman" w:hAnsi="Times New Roman"/>
                  <w:color w:val="0000FF"/>
                  <w:sz w:val="20"/>
                  <w:u w:val="single"/>
                </w:rPr>
                <w:t>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and_comp_loss">
              <w:r>
                <w:rPr>
                  <w:rStyle w:val="InternetLink"/>
                  <w:rFonts w:ascii="Times New Roman" w:hAnsi="Times New Roman"/>
                  <w:color w:val="0000FF"/>
                  <w:sz w:val="20"/>
                  <w:u w:val="single"/>
                </w:rPr>
                <w:t>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of_equity">
              <w:r>
                <w:rPr>
                  <w:rStyle w:val="InternetLink"/>
                  <w:rFonts w:ascii="Times New Roman" w:hAnsi="Times New Roman"/>
                  <w:color w:val="0000FF"/>
                  <w:sz w:val="20"/>
                  <w:u w:val="single"/>
                </w:rPr>
                <w:t>Statements of Stockholders Equity for the Three and Six Months Ended June 30, 2026</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of_equity">
              <w:r>
                <w:rPr>
                  <w:rStyle w:val="InternetLink"/>
                  <w:rFonts w:ascii="Times New Roman" w:hAnsi="Times New Roman"/>
                  <w:color w:val="0000FF"/>
                  <w:sz w:val="20"/>
                  <w:u w:val="single"/>
                </w:rPr>
                <w:t>Statements of Equity for the Three and Six Months Ended June 30,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of_cash_flows">
              <w:r>
                <w:rPr>
                  <w:rStyle w:val="InternetLink"/>
                  <w:rFonts w:ascii="Times New Roman" w:hAnsi="Times New Roman"/>
                  <w:color w:val="0000FF"/>
                  <w:sz w:val="20"/>
                  <w:u w:val="single"/>
                </w:rPr>
                <w:t>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4</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_">
              <w:r>
                <w:rPr>
                  <w:rStyle w:val="InternetLink"/>
                  <w:rFonts w:ascii="Times New Roman" w:hAnsi="Times New Roman"/>
                  <w:color w:val="0000FF"/>
                  <w:sz w:val="20"/>
                  <w:u w:val="single"/>
                </w:rPr>
                <w:t>Notes to Unaudited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Item 2.</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19</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28</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80"/>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29</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29</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Item 2.</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80"/>
                  <w:sz w:val="20"/>
                  <w:u w:val="single"/>
                </w:rPr>
                <w:t>Unregistered Sales of Equity Securities, Use of Proceeds and</w:t>
              </w:r>
            </w:hyperlink>
            <w:r>
              <w:rPr>
                <w:rFonts w:ascii="Times New Roman" w:hAnsi="Times New Roman"/>
                <w:color w:val="0000FF"/>
                <w:sz w:val="20"/>
                <w:u w:val="single"/>
              </w:rPr>
              <w:t> Issuer Purchases of Equity Securities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64</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65</w:t>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4" w:name="combined_balance_sheets"/>
      <w:bookmarkEnd w:id="4"/>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9"/>
        <w:gridCol w:w="146"/>
        <w:gridCol w:w="219"/>
        <w:gridCol w:w="814"/>
        <w:gridCol w:w="166"/>
        <w:gridCol w:w="146"/>
        <w:gridCol w:w="245"/>
        <w:gridCol w:w="907"/>
        <w:gridCol w:w="793"/>
      </w:tblGrid>
      <w:tr>
        <w:trPr/>
        <w:tc>
          <w:tcPr>
            <w:tcW w:w="6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and no shares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500,000,000 shares authorized and 35,390,679 shares issued and outstanding at June 30, 2026 and 100 shares authorized and no shares, issued or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former parent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287,490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5" w:name="stmt_of_operations_and_comp_loss"/>
      <w:bookmarkEnd w:id="5"/>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36"/>
        <w:gridCol w:w="166"/>
        <w:gridCol w:w="146"/>
        <w:gridCol w:w="211"/>
        <w:gridCol w:w="736"/>
        <w:gridCol w:w="166"/>
        <w:gridCol w:w="146"/>
        <w:gridCol w:w="211"/>
        <w:gridCol w:w="736"/>
        <w:gridCol w:w="166"/>
        <w:gridCol w:w="146"/>
        <w:gridCol w:w="211"/>
        <w:gridCol w:w="736"/>
        <w:gridCol w:w="1011"/>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6" w:name="combined_statements_of_equity"/>
      <w:bookmarkEnd w:id="6"/>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0"/>
        <w:gridCol w:w="146"/>
        <w:gridCol w:w="146"/>
        <w:gridCol w:w="601"/>
        <w:gridCol w:w="146"/>
        <w:gridCol w:w="146"/>
        <w:gridCol w:w="249"/>
        <w:gridCol w:w="442"/>
        <w:gridCol w:w="146"/>
        <w:gridCol w:w="146"/>
        <w:gridCol w:w="196"/>
        <w:gridCol w:w="691"/>
        <w:gridCol w:w="146"/>
        <w:gridCol w:w="146"/>
        <w:gridCol w:w="199"/>
        <w:gridCol w:w="765"/>
        <w:gridCol w:w="166"/>
        <w:gridCol w:w="146"/>
        <w:gridCol w:w="377"/>
        <w:gridCol w:w="839"/>
        <w:gridCol w:w="166"/>
        <w:gridCol w:w="146"/>
        <w:gridCol w:w="240"/>
        <w:gridCol w:w="811"/>
        <w:gridCol w:w="166"/>
        <w:gridCol w:w="146"/>
        <w:gridCol w:w="214"/>
        <w:gridCol w:w="823"/>
        <w:gridCol w:w="214"/>
      </w:tblGrid>
      <w:tr>
        <w:trPr/>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Former Parent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(50,484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exercises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the spin-off and reclassification of net parent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(241,041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net of $5,309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74,691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Transfers from former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168,796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7579" w:type="dxa"/>
        <w:jc w:val="left"/>
        <w:tblInd w:w="0" w:type="dxa"/>
        <w:tblLayout w:type="fixed"/>
        <w:tblCellMar>
          <w:top w:w="28" w:type="dxa"/>
          <w:left w:w="28" w:type="dxa"/>
          <w:bottom w:w="28" w:type="dxa"/>
          <w:right w:w="28" w:type="dxa"/>
        </w:tblCellMar>
      </w:tblPr>
      <w:tblGrid>
        <w:gridCol w:w="2251"/>
        <w:gridCol w:w="146"/>
        <w:gridCol w:w="199"/>
        <w:gridCol w:w="702"/>
        <w:gridCol w:w="166"/>
        <w:gridCol w:w="146"/>
        <w:gridCol w:w="377"/>
        <w:gridCol w:w="839"/>
        <w:gridCol w:w="166"/>
        <w:gridCol w:w="146"/>
        <w:gridCol w:w="380"/>
        <w:gridCol w:w="671"/>
        <w:gridCol w:w="146"/>
        <w:gridCol w:w="146"/>
        <w:gridCol w:w="196"/>
        <w:gridCol w:w="691"/>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parent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7" w:name="combined_statements_of_cash_flows"/>
      <w:bookmarkEnd w:id="7"/>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32"/>
        <w:gridCol w:w="946"/>
        <w:gridCol w:w="211"/>
        <w:gridCol w:w="841"/>
        <w:gridCol w:w="166"/>
        <w:gridCol w:w="146"/>
        <w:gridCol w:w="211"/>
        <w:gridCol w:w="841"/>
        <w:gridCol w:w="1011"/>
      </w:tblGrid>
      <w:tr>
        <w:trPr/>
        <w:tc>
          <w:tcPr>
            <w:tcW w:w="583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Accretion/amortization of investments, net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 – operating</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(176,755</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maturities of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228,079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connection with the spin-off</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public offerings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upon the exercise of stock options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former parent company with Spin-off</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offering costs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parent investment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Leased assets obtained in exchange for operating lease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Offering costs accrued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transfer of assets and liabilities in connection with the spin-off</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related to issuance of common stock, upon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8" w:name="notes_to_unaudited_condensed_consolida_"/>
      <w:bookmarkEnd w:id="8"/>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Inc. (“First Tracks Biotherapeutics,” “we,” “us,” “our,” or the “Company”) is a clinical-stage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Separation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support has been provided primarily by AnaptysBio, Inc. (“AnaptysBio”), our former parent company. In September 2025, AnaptysBio announced its intent, as approved by its board of directors on September 29, 2025, to separate our operations from AnaptysBio into a separate, independent, publicly traded company (the “Spin-Off”). The Spin-Off was completed on April 20, 2026 (the “Distribution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Spin-Off was achieved through AnaptysBio’s pro rata distribution of 29,100,902 shares of common stock of First Tracks Biotherapeutics to holders of record of AnaptysBio’s common stock. Each holder of record of AnaptysBio’s common stock received one share of First Tracks Biotherapeutics’ common stock for every one share of AnaptysBio’s common stock held on April 6, 2026, the record date for the distribution. On April 20, 2026, First Tracks Biotherapeutics’ shares of common stock began trading on the Nasdaq Stock Market LLC under the ticker symbol “TRAX.”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Distribution Date, AnaptysBio distributed 29,100,902 shares of First Tracks Biotherapeutics common stock to its shareholders and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5,791,479 shares of the Company’s common stock (the “Primary Shares”), and the Selling Stockholder agreed to sell an aggregate of 4,705,575 shares of the Company’s common stock (the “Secondary Shares”) that the Selling Stockholder received in the Spin-Off, at a purchase price of $13.81 per share (the “Private Placement”). The aggregate gross proceeds to First Tracks Biotherapeutics from the sale of the Primary Shares were approximately $80 million, before deducting offering expenses. First Tracks Biotherapeutics did not receive any proceeds from the sale of the Secondary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AnaptysBio. The Separation and Distribution Agreement identifies the assets transferred to (including the contracts assigned) or retained by, and the liabilities assumed or retained by each of us, and AnaptysBio. Pursuant to the Separation and Distribution Agreement, on the Distribution Date, $100 million in cash and cash equivalents was allocated to us from AnaptysBio. Furthermore, all accounts payable and accrued liabilities were assumed by AnaptysBio.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financial statements. The accompanying financial statements do not include any adjustments that might be necessary if we are unable to continue as a going concern.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historically operated as part of AnaptysBio and not as a separate, publicly traded company. For the periods prior to the Spin-Off, the accompanying unaudited financial statements have been derived from AnaptysBio’s historical accounting records of its Biopharma segment (“Biopharma”) and are presented on a carve-out basis. All revenues and costs as well as assets and liabilities directly associated with our business activity are included as a component of the financial statements. The financial statements also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 allocations of certain general, administrative, sales and marketing expenses and cost of sales from AnaptysBio’s corporate office and from other AnaptysBio businesses to us and allocations of related assets, liabilities, and retained earnings prior to the Spin-Off (“Net former parent investment”) which represents AnaptysBio’s interest in our recorded net assets, as applicable. The allocations have been determined on a reasonable basis; however, the amounts are not necessarily representative of the amounts that would have been reflected in the financial statements had we been an entity that operated independently of AnaptysBio.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the Spin-Off, the financial statements include the accounts of First Tracks Biotherapeutics and no longer include any allocations from AnaptysBio. Accordingly: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 Sheet as of June 30, 2026 consists of First Tracks Biotherapeutics’ stand-alone balance sheet, while the Balance Sheet as of December 31, 2025 consists of the combined balances of First Tracks Biotherapeutics and AnaptysBio.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of Operations and Comprehensive Loss for the three and six months ended June 30, 2026 consist of the combined results of First Tracks Biotherapeutics for the period from January 1, 2026 through April 19, 2026, and the stand-alone results of First Tracks Biotherapeutics for the period from April 20, 2026 through June 30, 2026. The Statements of Operations and Comprehensive Loss for the three and six months ended June 30, 2025 consist of the combined results of First Tracks Biotherapeutics.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of Equity for the three and six months ended June 30, 2026 consist of the combined results of First Tracks Biotherapeutics for the period from January 1, 2026 through April 19, 2026, and the stand-alone results of First Tracks Biotherapeutics for the period from April 20, 2026 through June 30, 2026. The Combined Statements of Equity for the three and six months ended June 30, 2025 consisted of the combined activity of First Tracks Biotherapeutics and AnaptysBio.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 of Cash Flows for the six months ended June 30, 2026 consists of the combined results of First Tracks Biotherapeutics for the period from January 1, 2026 through April 19, 2026, and the stand-alone results of First Tracks Biotherapeutics for the period from April 20, 2026 through June 30, 2026. The Statement of Cash Flows for the six months ended June 30, 2025 consisted of the combined results of First Tracks Biotherapeutics and AnaptysBio.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Spin-Off, First Tracks Biotherapeutics was dependent upon AnaptysBio for all of its working capital and financing requirements under AnaptysBio’s centralized approach to cash management and financing of its operations. Because the Company was part of AnaptysBio during the six months ended June 30, 2026, only cash, cash equivalents, and borrowings clearly associated with First Tracks Biotherapeutics and related to the Spin-Off have been included in these financial statements. Other financial transactions relating to the business operations of the Company during the period January 1, 2026 through April 19, 2026 were accounted for through the Net former parent investment account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transactions between First Tracks Biotherapeutics and AnaptysBio have been included in the accompanying financial statements for the three and six months ended June 30, 2026 and June 30, 2025. Transactions with AnaptysBio are reflected in the accompanying Statements of Changes in Equity as “Net parent investment” and in the accompanying Balance Sheets within “Net former parent investment.”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intercompany accounts and transactions between the operations comprising First Tracks Biotherapeutics have been eliminated in the accompanying Statements of Operations for the three and six months ended June 30, 2026 and June 30, 2025 and the Balance Sheets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financial statements have been prepared pursuant to the rules and regulations of the U.S. Securities and Exchange Commission (“SEC”). Certain information and note disclosures normally included in annual financial statements prepared in accordance with U.S. generally accepted accounting principles (“U.S. GAAP”) have been omitted. The accompanying unaudited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2026 are not necessarily indicative of the results that may be expected for the year ending December 31, 2026. The financial statements should be read in conjunction with our audited financial statements for the year ended December 31, 2025 included in our Form 10, which was filed with the SEC on March 27,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periods presented prior to April 20, 2026, we were not a separate legal entity and did not directly own the Australian subsidiary, which was legally owned by AnaptysBio. The portions of the Australian subsidiary’s assets, liabilities, income, expenses and cash flows related to our business are included in these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one reportable segment, and our functional and reporting currency is the U.S. dollar.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accompanying financial statements in conformity with U.S. GAAP requires our management to make estimates and assumptions that affect the reported amounts of assets and liabilities, disclosure of contingent assets and liabilities at the date of the financial statements, and reported amounts of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accrued research and development expenses, stock-based compensation, leases and the allocation of costs between AnaptysBio and First Tracks Biotherapeutics. We evaluate our estimates and assumptions on an ongoing basis. Our actual results could differ from these estimates under different assumptions or conditions.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For each period presented, there is no difference in the number of shares used to calculate basic and diluted net loss per share, as we are in a loss position for both periods and all shares are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weighted-average outstanding potentially dilutive securities that have been excluded in the calculation of diluted net loss per share because to do so would be anti-dilutive (in common stock equivalent shares):</w:t>
      </w:r>
    </w:p>
    <w:p>
      <w:pPr>
        <w:pStyle w:val="TextBody"/>
        <w:bidi w:val="0"/>
        <w:spacing w:before="120" w:after="283"/>
        <w:jc w:val="left"/>
        <w:rPr/>
      </w:pPr>
      <w:r>
        <w:rPr/>
        <w:t> </w:t>
      </w:r>
    </w:p>
    <w:tbl>
      <w:tblPr>
        <w:tblW w:w="7252"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46"/>
        <w:gridCol w:w="146"/>
        <w:gridCol w:w="146"/>
        <w:gridCol w:w="571"/>
        <w:gridCol w:w="146"/>
        <w:gridCol w:w="146"/>
        <w:gridCol w:w="146"/>
        <w:gridCol w:w="57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all new accounting pronouncements that are in effect and may have an impact on our financial statements. Unless otherwise discussed, we believe the impact of any recently issued pronouncements will not have a material impact on our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 Update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which requires disclosure about the types of costs and expenses included in certain expense captions presented on the income statement</w:t>
      </w:r>
      <w:r>
        <w:rPr>
          <w:rFonts w:ascii="Times New Roman" w:hAnsi="Times New Roman"/>
          <w:i/>
          <w:color w:val="000000"/>
          <w:sz w:val="20"/>
        </w:rPr>
        <w:t>.</w:t>
      </w:r>
      <w:r>
        <w:rPr>
          <w:rFonts w:ascii="Times New Roman" w:hAnsi="Times New Roman"/>
          <w:color w:val="000000"/>
          <w:sz w:val="20"/>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Balance Sheet Accounts and Supplemental Disclosures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4111"/>
        <w:gridCol w:w="146"/>
        <w:gridCol w:w="282"/>
        <w:gridCol w:w="843"/>
        <w:gridCol w:w="166"/>
        <w:gridCol w:w="146"/>
        <w:gridCol w:w="376"/>
        <w:gridCol w:w="112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Leasehold improvements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leasehold improvements remained with AnaptysBio as part of the Spin-Off.</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jc w:val="left"/>
        <w:rPr/>
      </w:pPr>
      <w:r>
        <w:rPr/>
        <w:t> </w:t>
      </w:r>
    </w:p>
    <w:tbl>
      <w:tblPr>
        <w:tblW w:w="8465" w:type="dxa"/>
        <w:jc w:val="left"/>
        <w:tblInd w:w="0" w:type="dxa"/>
        <w:tblLayout w:type="fixed"/>
        <w:tblCellMar>
          <w:top w:w="28" w:type="dxa"/>
          <w:left w:w="28" w:type="dxa"/>
          <w:bottom w:w="28" w:type="dxa"/>
          <w:right w:w="28" w:type="dxa"/>
        </w:tblCellMar>
      </w:tblPr>
      <w:tblGrid>
        <w:gridCol w:w="5011"/>
        <w:gridCol w:w="146"/>
        <w:gridCol w:w="303"/>
        <w:gridCol w:w="822"/>
        <w:gridCol w:w="146"/>
        <w:gridCol w:w="146"/>
        <w:gridCol w:w="357"/>
        <w:gridCol w:w="1143"/>
        <w:gridCol w:w="3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development and manufacturing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Separation and Distribution Agreement, all accrued expenses prior to the Spin-Off were retained by AnaptysBio.</w:t>
      </w:r>
    </w:p>
    <w:p>
      <w:pPr>
        <w:pStyle w:val="TextBody"/>
        <w:bidi w:val="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7585" w:type="dxa"/>
        <w:jc w:val="left"/>
        <w:tblInd w:w="0" w:type="dxa"/>
        <w:tblLayout w:type="fixed"/>
        <w:tblCellMar>
          <w:top w:w="28" w:type="dxa"/>
          <w:left w:w="28" w:type="dxa"/>
          <w:bottom w:w="28" w:type="dxa"/>
          <w:right w:w="28" w:type="dxa"/>
        </w:tblCellMar>
      </w:tblPr>
      <w:tblGrid>
        <w:gridCol w:w="4131"/>
        <w:gridCol w:w="146"/>
        <w:gridCol w:w="303"/>
        <w:gridCol w:w="822"/>
        <w:gridCol w:w="146"/>
        <w:gridCol w:w="146"/>
        <w:gridCol w:w="403"/>
        <w:gridCol w:w="1097"/>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AnaptysBio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Collaborative Research and Development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Centessa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Centessa Agreement, we paid Centessa an up front cash payment of $4.0 million and an additional cash payment of $3.0 million as reimbursement to Centessa for manufacturing costs incurred. There were $0.3 million in transaction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June 30, 2026, achievement of the milestone is not probable and, therefore, we have not recognized a liability for the associated $10.0 million contingent consideration.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31, 2025, AnaptysBio entered into an Exclusive License Agreement (the “Vanda License Agreement”) with Vanda pursuant to which Vanda was granted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 Pursuant to the Separation and Distribution Agreement, any and all rights to receive milestone payments under the Vanda License Agreement were transferred to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milestones are payable under the Vanda License Agreement:</w:t>
      </w:r>
    </w:p>
    <w:tbl>
      <w:tblPr>
        <w:tblW w:w="10205" w:type="dxa"/>
        <w:jc w:val="left"/>
        <w:tblInd w:w="0" w:type="dxa"/>
        <w:tblLayout w:type="fixed"/>
        <w:tblCellMar>
          <w:top w:w="28" w:type="dxa"/>
          <w:left w:w="28" w:type="dxa"/>
          <w:bottom w:w="28" w:type="dxa"/>
          <w:right w:w="28" w:type="dxa"/>
        </w:tblCellMar>
      </w:tblPr>
      <w:tblGrid>
        <w:gridCol w:w="8186"/>
        <w:gridCol w:w="146"/>
        <w:gridCol w:w="751"/>
        <w:gridCol w:w="146"/>
        <w:gridCol w:w="976"/>
      </w:tblGrid>
      <w:tr>
        <w:trPr/>
        <w:tc>
          <w:tcPr>
            <w:tcW w:w="8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w:t>
              <w:br/>
              <w:t>Recognized</w:t>
            </w:r>
          </w:p>
        </w:tc>
      </w:tr>
      <w:tr>
        <w:trPr/>
        <w:tc>
          <w:tcPr>
            <w:tcW w:w="8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FDA regulatory approval for marketing of first licensed product in the USA for the treatment of active flares in GPP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approval for marketing of the first licensed product in the EU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8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 first exceed $100.0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 recognized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8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operated as part of AnaptysBio and not as a stand-alone entity. Accordingly, the accompanying financial statements for periods prior to the Spin-Off were derived from the consolidated financial statements and accounting records of AnaptysBio. Following the Spin-Off, the financial statements no longer include allocations from AnaptysBio.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Allocations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through the date of the Spin-Off reflect allocations of certain expenses from the financial statements of AnaptysBio, including research and development expenses and administrative expenses. These allocations include, but are not limited to, executive management, employee compensation and benefits, facilities and operations, information technology, business development, financial services (such as accounting, audit, and tax), legal, insurance, and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research and development costs that could not be specifically identified were allocated to the program level using the percentage of external research and development costs as the allocation driver. General and administrative expenses were allocated similarly to the allocation of internal research and development costs, with a portion allocated based on estimated employee headcount.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allocations are reflected in the statements of operations as follows: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three and six months ended June 30, 2026 and 2025, transactions with AnaptysBio were as follows:</w:t>
      </w:r>
    </w:p>
    <w:tbl>
      <w:tblPr>
        <w:tblW w:w="8596" w:type="dxa"/>
        <w:jc w:val="left"/>
        <w:tblInd w:w="0" w:type="dxa"/>
        <w:tblLayout w:type="fixed"/>
        <w:tblCellMar>
          <w:top w:w="28" w:type="dxa"/>
          <w:left w:w="28" w:type="dxa"/>
          <w:bottom w:w="28" w:type="dxa"/>
          <w:right w:w="28" w:type="dxa"/>
        </w:tblCellMar>
      </w:tblPr>
      <w:tblGrid>
        <w:gridCol w:w="3156"/>
        <w:gridCol w:w="146"/>
        <w:gridCol w:w="211"/>
        <w:gridCol w:w="146"/>
        <w:gridCol w:w="571"/>
        <w:gridCol w:w="146"/>
        <w:gridCol w:w="146"/>
        <w:gridCol w:w="211"/>
        <w:gridCol w:w="146"/>
        <w:gridCol w:w="676"/>
        <w:gridCol w:w="146"/>
        <w:gridCol w:w="146"/>
        <w:gridCol w:w="211"/>
        <w:gridCol w:w="146"/>
        <w:gridCol w:w="676"/>
        <w:gridCol w:w="146"/>
        <w:gridCol w:w="146"/>
        <w:gridCol w:w="211"/>
        <w:gridCol w:w="146"/>
        <w:gridCol w:w="67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allocated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financial statements through the date of the Spin-Off reflect allocations of certain assets and liabilities from the financial statements of AnaptysBio. These allocations include, but are not limited to, prepaid expenses and other current assets, accounts payable, accrued expenses, and accumulated deficit. Amounts that could not be specifically identified were allocated using the percentage of external research and development costs as the allocation driver.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Actual costs that may have been incurred if First Tracks Biotherapeutics had been a stand-alone public company would depend on a number of factors, including the organizational structure, whether functions were outsourced or performed by First Tracks Biotherapeutics employees, and decisions made in areas such as research and development, infrastructure, and information technology.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Investment from AnaptysBio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Related party transactions between First Tracks Biotherapeutics and AnaptysBio have been included within net former parent investment in the balance sheet as of December 31, 2025, as these related party transactions were not settled in cash. Net former parent investment, in the balance sheets and statements of equity, represents AnaptysBio’s investment in First Tracks Biotherapeutics, the net effect of transactions with, and allocations from AnaptysBio. The components of net transfers from AnaptysBio and the reconciliation to the corresponding amount presented on the statements of cash flows, for the six months ended June 30, 2026 and 2025, were as follows:</w:t>
      </w:r>
    </w:p>
    <w:p>
      <w:pPr>
        <w:pStyle w:val="TextBody"/>
        <w:bidi w:val="0"/>
        <w:jc w:val="left"/>
        <w:rPr/>
      </w:pPr>
      <w:r>
        <w:rPr/>
        <w:t> </w:t>
      </w:r>
    </w:p>
    <w:tbl>
      <w:tblPr>
        <w:tblW w:w="7596" w:type="dxa"/>
        <w:jc w:val="left"/>
        <w:tblInd w:w="0" w:type="dxa"/>
        <w:tblLayout w:type="fixed"/>
        <w:tblCellMar>
          <w:top w:w="28" w:type="dxa"/>
          <w:left w:w="28" w:type="dxa"/>
          <w:bottom w:w="28" w:type="dxa"/>
          <w:right w:w="28" w:type="dxa"/>
        </w:tblCellMar>
      </w:tblPr>
      <w:tblGrid>
        <w:gridCol w:w="4561"/>
        <w:gridCol w:w="146"/>
        <w:gridCol w:w="211"/>
        <w:gridCol w:w="146"/>
        <w:gridCol w:w="736"/>
        <w:gridCol w:w="166"/>
        <w:gridCol w:w="146"/>
        <w:gridCol w:w="211"/>
        <w:gridCol w:w="146"/>
        <w:gridCol w:w="736"/>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Allocations of AnaptysBio's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investments to AnaptysBio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ROU assets to AnaptysBio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lease liabilities to AnaptysBio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other current assets to AnaptysBio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accrued liabilities to AnaptysBio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6. Fair Value Measurements and Available-for-Sale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instruments consist principally of cash, cash equivalents, short-term and long-term investments, receivables, and accounts payable. Certain of our financial assets and liabilities have been recorded at fair value in the balance sheet in accordance with the accounting standards for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1—Observable inputs that reflect quoted prices (unadjusted) for identical assets or liabilities in active markets.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activities, therefore requiring an entity to develop its own assumptions.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assets and liabilities that require fair value measurements on a recurring basis and their respective input levels based on the fair value hierarchy:</w:t>
      </w:r>
    </w:p>
    <w:p>
      <w:pPr>
        <w:pStyle w:val="TextBody"/>
        <w:bidi w:val="0"/>
        <w:jc w:val="left"/>
        <w:rPr/>
      </w:pPr>
      <w:r>
        <w:rPr/>
        <w:t> </w:t>
      </w:r>
    </w:p>
    <w:tbl>
      <w:tblPr>
        <w:tblW w:w="9331"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61"/>
        <w:gridCol w:w="969"/>
        <w:gridCol w:w="146"/>
        <w:gridCol w:w="146"/>
        <w:gridCol w:w="295"/>
        <w:gridCol w:w="950"/>
        <w:gridCol w:w="146"/>
        <w:gridCol w:w="146"/>
        <w:gridCol w:w="471"/>
        <w:gridCol w:w="77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End of Period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Market</w:t>
              <w:br/>
              <w:t>Prices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and cash equivalents in the accompanying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short-term investments in the accompanying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methods and assumptions were used to estimate the fair value of our financial instruments for which it is practicable to estimate that value:</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Other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certain of our financial instruments, including cash and cash equivalents, accounts payable, and accrued expenses approximate fair value due to their short-term nature.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As of June 30, 2026, we did not have any available-for-sale investments by security type, classified in short-term or long-term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market value, cost basis, and gross unrealized gains and losses of available-for-sale investments by security type, classified in cash equivalents, short-term and long-term investments as of December 31, 2025 are as follows:</w:t>
      </w:r>
    </w:p>
    <w:p>
      <w:pPr>
        <w:pStyle w:val="TextBody"/>
        <w:bidi w:val="0"/>
        <w:jc w:val="left"/>
        <w:rPr/>
      </w:pPr>
      <w:r>
        <w:rPr/>
        <w:t> </w:t>
      </w:r>
    </w:p>
    <w:tbl>
      <w:tblPr>
        <w:tblW w:w="7387"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295"/>
        <w:gridCol w:w="591"/>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 our outstanding commercial and corporate obligations, $10.2 million have maturity dates of less than one year and $0.0 million have a maturity date of between one to two years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outstanding U.S. Treasury securities, $63.3 million have maturity dates of less than one year and $0.0 million have a maturity date of between one to two years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available-for-sale investments in an unrealized loss position as of June 30, 2026 or December 31, 2025. Accordingly, no allowance for credit losses was recorded.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authorized up to 10,000,000 shares of preferred stock, $0.001 par value per share, for issuance. There were no preferred shares outstanding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authorized up to 500,000,000 shares of common stock, $0.001 par value per share, for issuance. There were 35,390,679 shares of common stock issued and outstanding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20, 2026,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5,791,479 shares of the Company’s common stock (the “Primary Shares”), and the Selling Stockholder agreed to sell an aggregate of 4,705,575 shares of the Company’s common stock (the “Secondary Shares”) that the Selling Stockholder received in the Spin-Off, at a purchase price of $13.81 per share (the “Private Placement”). The aggregate gross proceeds to First Tracks Biotherapeutics from the sale of the Primary Shares were approximately $80 million, before deducting offering expenses. First Tracks Biotherapeutics did not receive any proceeds from the sale of the Secondary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Spin-Off, First Tracks Biotherapeutics had no stock-based compensation plans; however, certain of its employees were eligible to participate in AnaptysBio’s 2017 Equity Incentive Plan (the “AnaptysBio Equity Plan”) which provided grants of restricted stock units (“RSUs”) and performance stock units (“PSUs”) (collectively, “Stock Awards”), stock options, or any other stock-based awards. All grants of stock options and Stock Awards prior to separation were made under the AnaptysBio Equity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Spin-Off, the Company established the First Tracks Biotherapeutics 2026 Equity Incentive Plan (the “First Tracks Equity Plan”). The outstanding RSUs and stock options of AnaptysBio were all cancelled and reissued in both the AnaptysBio Equity Plan and the First Tracks Equity Plan. These equity awards were repriced based on a proportional allocation of the original award price, based on First Tracks Biotherapeutics and AnaptysBio’s closing prices on the Distribution Date. In doing so, these reissued awards maintained the economic value before and after the Spin-Off. The terms of the equity awards, such as the award period, exercisability, and vesting schedule, as applicable, generally remained unchanged. There was no incremental stock-based compensation expense recorded as a result of the equity award conversion.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Spin-Off, each AnaptysBio PSU was replaced with a number of First Tracks Biotherapeutics PSUs with a value equal to the AnaptysBio common stock covered by the cancelled award, rounded down to the nearest share. The replacement awards are subject to substantially equivalent conditions and restrictions as the AnaptysBio cancelled PSUs, except that the stock-price hurdles therein were equitably adjusted such that each hurdle retains the same ratio from the First Tracks Biotherapeutics stock price following the Spin-Off as related to the AnaptysBio stock price prior to the Spin-Off and, following the Spin-Off, performance is based on the First Tracks Biotherapeutics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First Tracks Equity Plan, 4,169,861 shares (plus the shares subject to substitution awards granted pursuant to the Separation and Distribution Agreement) are reserved for issuance and 347,488 shares are reserved for issuance under the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Stock Purchase Plan. As of June 30, 2026, 2,187,351 shares were available for future issuance under the First Tracks Equity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six months ended June 30, 2026 is as follows:</w:t>
      </w:r>
    </w:p>
    <w:tbl>
      <w:tblPr>
        <w:tblW w:w="8668" w:type="dxa"/>
        <w:jc w:val="left"/>
        <w:tblInd w:w="0" w:type="dxa"/>
        <w:tblLayout w:type="fixed"/>
        <w:tblCellMar>
          <w:top w:w="28" w:type="dxa"/>
          <w:left w:w="28" w:type="dxa"/>
          <w:bottom w:w="28" w:type="dxa"/>
          <w:right w:w="28" w:type="dxa"/>
        </w:tblCellMar>
      </w:tblPr>
      <w:tblGrid>
        <w:gridCol w:w="2716"/>
        <w:gridCol w:w="346"/>
        <w:gridCol w:w="146"/>
        <w:gridCol w:w="931"/>
        <w:gridCol w:w="166"/>
        <w:gridCol w:w="146"/>
        <w:gridCol w:w="302"/>
        <w:gridCol w:w="823"/>
        <w:gridCol w:w="146"/>
        <w:gridCol w:w="146"/>
        <w:gridCol w:w="293"/>
        <w:gridCol w:w="937"/>
        <w:gridCol w:w="146"/>
        <w:gridCol w:w="146"/>
        <w:gridCol w:w="211"/>
        <w:gridCol w:w="676"/>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 to</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Spin-Off, 6,641,885 substitute options were issued related to options from the AnaptysBio Equity Plan.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cash received from the exercise of stock options was approximately $2.1 million during the six months ended June 30, 2026.</w:t>
      </w:r>
    </w:p>
    <w:p>
      <w:pPr>
        <w:pStyle w:val="TextBody"/>
        <w:bidi w:val="0"/>
        <w:jc w:val="left"/>
        <w:rPr>
          <w:rFonts w:ascii="Times New Roman" w:hAnsi="Times New Roman"/>
          <w:b/>
          <w:i/>
          <w:color w:val="000000"/>
          <w:sz w:val="20"/>
        </w:rPr>
      </w:pPr>
      <w:r>
        <w:rPr>
          <w:rFonts w:ascii="Times New Roman" w:hAnsi="Times New Roman"/>
          <w:b/>
          <w:i/>
          <w:color w:val="000000"/>
          <w:sz w:val="20"/>
        </w:rPr>
        <w:t>Time-Based Restricted Stock Units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Each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8613" w:type="dxa"/>
        <w:jc w:val="left"/>
        <w:tblInd w:w="0" w:type="dxa"/>
        <w:tblLayout w:type="fixed"/>
        <w:tblCellMar>
          <w:top w:w="28" w:type="dxa"/>
          <w:left w:w="28" w:type="dxa"/>
          <w:bottom w:w="28" w:type="dxa"/>
          <w:right w:w="28" w:type="dxa"/>
        </w:tblCellMar>
      </w:tblPr>
      <w:tblGrid>
        <w:gridCol w:w="3241"/>
        <w:gridCol w:w="146"/>
        <w:gridCol w:w="146"/>
        <w:gridCol w:w="931"/>
        <w:gridCol w:w="166"/>
        <w:gridCol w:w="146"/>
        <w:gridCol w:w="254"/>
        <w:gridCol w:w="691"/>
        <w:gridCol w:w="146"/>
        <w:gridCol w:w="146"/>
        <w:gridCol w:w="293"/>
        <w:gridCol w:w="937"/>
        <w:gridCol w:w="146"/>
        <w:gridCol w:w="146"/>
        <w:gridCol w:w="211"/>
        <w:gridCol w:w="67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Spin-Off, 1,514,446 substitute awards were issued related to awards from the AnaptysBio Equity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PSU represents one equivalent share of our common stock to be issued after achievement of the performance metrics specified in the grant. The following table presents a summary of activity with respect to our PSUs: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4"/>
        <w:gridCol w:w="146"/>
        <w:gridCol w:w="230"/>
        <w:gridCol w:w="1468"/>
        <w:gridCol w:w="146"/>
        <w:gridCol w:w="146"/>
        <w:gridCol w:w="458"/>
        <w:gridCol w:w="1013"/>
        <w:gridCol w:w="146"/>
        <w:gridCol w:w="146"/>
        <w:gridCol w:w="891"/>
        <w:gridCol w:w="2857"/>
        <w:gridCol w:w="194"/>
      </w:tblGrid>
      <w:tr>
        <w:trPr/>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Performance</w:t>
              <w:br/>
              <w:t>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Contractual Term (in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Outstanding at April 20,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Spin-Off, 1,109,394 substitute awards were issued related to awards from the AnaptysBio Equity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2356"/>
        <w:gridCol w:w="146"/>
        <w:gridCol w:w="336"/>
        <w:gridCol w:w="1074"/>
        <w:gridCol w:w="31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stock-based compensation expense for awards issued to employees and non-employees over the requisite service period based on the estimated grant-date fair value of such awards. The estimated fair values of stock option awards granted were determined on the date of grant using the Black-Scholes option valuation model with the following weighted-average assumptions:</w:t>
      </w:r>
    </w:p>
    <w:p>
      <w:pPr>
        <w:pStyle w:val="TextBody"/>
        <w:bidi w:val="0"/>
        <w:jc w:val="left"/>
        <w:rPr/>
      </w:pPr>
      <w:r>
        <w:rPr/>
        <w:t> </w:t>
      </w:r>
    </w:p>
    <w:tbl>
      <w:tblPr>
        <w:tblW w:w="6464" w:type="dxa"/>
        <w:jc w:val="left"/>
        <w:tblInd w:w="0" w:type="dxa"/>
        <w:tblLayout w:type="fixed"/>
        <w:tblCellMar>
          <w:top w:w="28" w:type="dxa"/>
          <w:left w:w="28" w:type="dxa"/>
          <w:bottom w:w="28" w:type="dxa"/>
          <w:right w:w="28" w:type="dxa"/>
        </w:tblCellMar>
      </w:tblPr>
      <w:tblGrid>
        <w:gridCol w:w="4021"/>
        <w:gridCol w:w="146"/>
        <w:gridCol w:w="211"/>
        <w:gridCol w:w="571"/>
        <w:gridCol w:w="271"/>
        <w:gridCol w:w="146"/>
        <w:gridCol w:w="211"/>
        <w:gridCol w:w="571"/>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Distribution Date, stock-based compensation expense was allocated to us using a proportionate cost allocation method, which management believes is consistent and reasonable. For the research and development portion, costs were allocated using the percentage of external research and development costs as the allocation driver. For the general and administrative portion, costs were allocated similarly to the allocation of research and development costs, with a portion allocated based on estimated employee headcount.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under AnaptysBio’s 2017 Plan allocated to us and included within our statements of operations consisted of the following (in thousands):</w:t>
      </w:r>
    </w:p>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2311"/>
        <w:gridCol w:w="346"/>
        <w:gridCol w:w="211"/>
        <w:gridCol w:w="571"/>
        <w:gridCol w:w="146"/>
        <w:gridCol w:w="146"/>
        <w:gridCol w:w="211"/>
        <w:gridCol w:w="676"/>
        <w:gridCol w:w="146"/>
        <w:gridCol w:w="146"/>
        <w:gridCol w:w="211"/>
        <w:gridCol w:w="676"/>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under the First Tracks Equity Plan that was recognized in the statements of operations and comprehensive loss is as follows: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53" w:type="dxa"/>
        <w:jc w:val="left"/>
        <w:tblInd w:w="0" w:type="dxa"/>
        <w:tblLayout w:type="fixed"/>
        <w:tblCellMar>
          <w:top w:w="28" w:type="dxa"/>
          <w:left w:w="28" w:type="dxa"/>
          <w:bottom w:w="28" w:type="dxa"/>
          <w:right w:w="28" w:type="dxa"/>
        </w:tblCellMar>
      </w:tblPr>
      <w:tblGrid>
        <w:gridCol w:w="2311"/>
        <w:gridCol w:w="146"/>
        <w:gridCol w:w="433"/>
        <w:gridCol w:w="117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June 30, 2026, there was $48.2 million of unrecognized compensation cost related to unvested stock options, which is expected to be recognized over a remaining weighted average vesting period of 2.87 years, $33.3 million of unrecognized cost related to unvested RSU awards, which is expected to be recognized over a period of 2.63 years, and $3.0 million of unrecognized cost related to unvested PSU awards, which is expected to be recognized over a period of 2.03 years.</w:t>
      </w:r>
    </w:p>
    <w:p>
      <w:pPr>
        <w:pStyle w:val="TextBody"/>
        <w:bidi w:val="0"/>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15, 2026, we entered into a Sublease Agreement with AnaptysBio (the “Sublease Agreement”), with respect to facilities in the building at 10770 Wateridge Circle, San Diego, California 92121. Under the Sublease Agreement, we agreed to sublease approximately 45,000 square feet of space for a term of 24 months, beginning on April 20,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Sublease Agreement, the monthly base rent is initially $4.87 per rentable square foot and is increased by 3% annually. We are also responsible for our pro rata share of real estate taxes, building insurance, maintenance, direct expenses, and utilities. The terms of the Sublease Agreement do not provide us with an option to extend the term of the lease, but do provide us with an option to terminate the lease early on December 31, 2027, by delivery of written notice provided at least six months in advance. The exercise of this option is at our sole discretion, which we do not anticipate exercising at this time. Upon lease commencement, on April 20, 2026, we recognized a right of use (“ROU”) asset and a corresponding lease liability of $4.4 million each, on the balance sheet. There were no lease incentives, prepayments or direct costs as part of the sublease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9.5% and the weighted-average remaining lease term is approximately 1.8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non-cancellable office lease costs are included in our statements of cash flow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23"/>
        <w:gridCol w:w="146"/>
        <w:gridCol w:w="2278"/>
        <w:gridCol w:w="146"/>
        <w:gridCol w:w="288"/>
        <w:gridCol w:w="574"/>
        <w:gridCol w:w="199"/>
        <w:gridCol w:w="199"/>
        <w:gridCol w:w="288"/>
        <w:gridCol w:w="471"/>
        <w:gridCol w:w="193"/>
      </w:tblGrid>
      <w:tr>
        <w:trPr/>
        <w:tc>
          <w:tcPr>
            <w:tcW w:w="5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on the 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At June 30, 2026, the future minimum annual obligations for the Company’s operating lease liabilities are as follows:</w:t>
      </w:r>
    </w:p>
    <w:tbl>
      <w:tblPr>
        <w:tblW w:w="4335" w:type="dxa"/>
        <w:jc w:val="left"/>
        <w:tblInd w:w="0" w:type="dxa"/>
        <w:tblLayout w:type="fixed"/>
        <w:tblCellMar>
          <w:top w:w="28" w:type="dxa"/>
          <w:left w:w="28" w:type="dxa"/>
          <w:bottom w:w="28" w:type="dxa"/>
          <w:right w:w="28" w:type="dxa"/>
        </w:tblCellMar>
      </w:tblPr>
      <w:tblGrid>
        <w:gridCol w:w="3196"/>
        <w:gridCol w:w="146"/>
        <w:gridCol w:w="211"/>
        <w:gridCol w:w="571"/>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payments required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as one reportable segment focused on research and development activities to deliver immunology therapeutics for autoimmune and inflammatory diseases. Segment profit or loss is measured as the net loss reported on our Statements of Operations and Comprehensive Loss and net loss is used to monitor results. The measure of segment assets is reported on our Balance Sheets as total assets.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(“CODM”) is our Chief Executive Officer. The CODM manages the business activities on a combined basis in making decisions regarding resource allocation and performance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a summary of segment loss and our significant expenses (in thousands):</w:t>
      </w:r>
    </w:p>
    <w:p>
      <w:pPr>
        <w:pStyle w:val="TextBody"/>
        <w:bidi w:val="0"/>
        <w:jc w:val="left"/>
        <w:rPr/>
      </w:pPr>
      <w:r>
        <w:rPr/>
        <w:t> </w:t>
      </w:r>
    </w:p>
    <w:tbl>
      <w:tblPr>
        <w:tblW w:w="9917" w:type="dxa"/>
        <w:jc w:val="left"/>
        <w:tblInd w:w="0" w:type="dxa"/>
        <w:tblLayout w:type="fixed"/>
        <w:tblCellMar>
          <w:top w:w="28" w:type="dxa"/>
          <w:left w:w="28" w:type="dxa"/>
          <w:bottom w:w="28" w:type="dxa"/>
          <w:right w:w="28" w:type="dxa"/>
        </w:tblCellMar>
      </w:tblPr>
      <w:tblGrid>
        <w:gridCol w:w="3656"/>
        <w:gridCol w:w="746"/>
        <w:gridCol w:w="211"/>
        <w:gridCol w:w="736"/>
        <w:gridCol w:w="166"/>
        <w:gridCol w:w="146"/>
        <w:gridCol w:w="211"/>
        <w:gridCol w:w="736"/>
        <w:gridCol w:w="166"/>
        <w:gridCol w:w="146"/>
        <w:gridCol w:w="211"/>
        <w:gridCol w:w="736"/>
        <w:gridCol w:w="166"/>
        <w:gridCol w:w="146"/>
        <w:gridCol w:w="211"/>
        <w:gridCol w:w="736"/>
        <w:gridCol w:w="791"/>
      </w:tblGrid>
      <w:tr>
        <w:trPr/>
        <w:tc>
          <w:tcPr>
            <w:tcW w:w="36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ANB033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Rosnilimab</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ANB101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ANB032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R&amp;D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G&amp;A</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legal services, insurance, professional fees for auditing, tax, and market research, and allocated facility-related costs not otherwise included in research and development expenses.</w:t>
      </w:r>
    </w:p>
    <w:p>
      <w:pPr>
        <w:pStyle w:val="TextBody"/>
        <w:bidi w:val="0"/>
        <w:spacing w:before="240" w:after="283"/>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include, among other things, statements about: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cost, and timing of our product candidate development activities and ongoing and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and ability to develop and commercialize antibodies;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likelihood that the clinical data generated in any study we performed, are performing, or plan to perform in a non-U.S. jurisdiction will be subsequently accepted by the U.S. Food and Drug Administration (the “FDA”) and/or by foreign regulatory authorities outside of the jurisdiction where the study was being performed;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benefits and advantages of our product candidates and approaches versus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and the ability to obtain and maintain regulatory approvals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approved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growth potential of the markets for any approved product candidates, and our ability to serve those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political, economic or public health events on our business and the U.S. and global economies;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macroeconomic factors, including volatility in equity markets, fluctuations in interest rates and foreign exchange rates and political and regulatory developments or changes in trade policy, including tariffs;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benefits or costs of the Company’s recent separation from AnaptysBio, Inc. (“AnaptysBio”) into two independent, publicly traded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significant volatility in our stock price or an active trading market for shares of our common stock not developing or being sustained;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indicates otherwise, as used in this Quarterly Report, when we refer to “we”, “us”, “our,” or the “Company,” we refer to First Tracks Biotherapeutics following the Spin-Off and the combined company with AnaptysBio prior to the Spin-Off. First Tracks Biotherapeutics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financial statements and related notes for the three months ended June 30, 2026, included in Part I, Item 1 of this Quarterly Report and with our audited combined financial statements and related notes thereto for the year ended December 31, 2025 included in our Form 10 filed with the Securities and Exchange Commission on March 27, 2026.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Spin-Off from AnaptysBio</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AnaptysBio announced its intention to separate its business into two independent, publicly traded companies (the “Spin-Off”). The spun-out company, First Tracks Biotherapeutics, would be a clinical-stage biotechnology company focused on the development and potential commercialization of innovative therapeutics for autoimmune and inflammatory diseases, including ANB033, rosnilimab and ANB101. AnaptysBio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 with a focus on protecting and returning value of the royalties to its stockholders. As part of the Spin-Off, AnaptysBio transferred the assets, liabilities and operations of its biopharma development business to First Tracks Biotherapeutics. The Spin-Off was approved by the AnaptysBio board of directors and completed on April 20,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historical financial statements have been prepared on a standalone basis and are derived from AnaptysBio consolidated financial statements and accounting records. Therefore, these financial statements reflect, in conformity with U.S. generally accepted accounting principles (“U.S. GAAP”), First Tracks Biotherapeutics’ financial position, results of operations and cash flows as the business was historically operated as part of AnaptysBio prior to the Spin-Off. They may not be indicative of First Tracks Biotherapeutics’ future performance and do not necessarily reflect what First Tracks Biotherapeutics’ financial position, results of operations and cash flows would have been had First Tracks Biotherapeutics operated as a separate, publicly traded company during the periods presented, particularly because the Company expects that changes will occur in our operating structure and its capitalization as a result of the separation from AnaptysBio. Following the Spin-Off, the financial statements no longer include allocations from AnaptysBio.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statements of operations through the date of the Spin-Off reflect allocations of certain expenses, including research and development expenses and administrative expenses, and allocations of certain assets and liabilities from the consolidated financial statements of AnaptysBio, Inc., as applicable. 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Related party cost allocations are further described in Note 5. Related-Party Transactions to the financial statements. First Tracks Biotherapeutics expects to provide some of the services related to these general and administrative functions to AnaptysBio on a transitional basis following the Spin-Off. These services will be provided under the Transition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Separation and Distribution Agreement and a Transition Services Agreement with AnaptysBio to govern the Spin-Off and our relationship with AnaptysBio following the Spin-Off. These agreements will provide for the allocation between First Tracks Biotherapeutics and AnaptysBio of AnaptysBio’s assets, employees, liabilities and obligations (including its property, employee benefits and tax-related assets and liabilities) attributable to periods prior to, at and after the Spin-Off and will govern certain relationships between First Tracks Biotherapeutics and AnaptysBio after the Spin-Off.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third-party investors (the “Private Placement Investors”) purchased shares of First Tracks Biotherapeutics common stock from First Tracks Biotherapeutics and EcoR1 Capital Fund Qualified, L.P. (the “Selling Stockholder”) in the private placement that closed on April 20, 2026 (the “Private Placement”). Pursuant to the purchase agreement by and between First Tracks Biotherapeutics, the Selling Stockholder and the Private Placement Investors, First Tracks Biotherapeutics issued and sold an aggregate of 5,791,479 shares of First Tracks Biotherapeutics common stock and the Selling Stockholder sold an aggregate of 4,705,575 shares of First Tracks Biotherapeutics common stock (the “Secondary Shares”) that the Selling Stockholder received in the Spin-Off to the Private Placement Investors in the Private Placement, at a purchase price of $13.81 per share. The aggregate gross proceeds to First Tracks Biotherapeutics from the sale of the Primary Shares were approximately $80 million, before deducting offering expenses. The Private Placement closed immediately after the closing of the Spin-Off. Leerink Partners LLC and Barclays Capital Inc. served as placement agents for the Private Placement and received a placement fee from the Company in connection therewith.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Wholly Owned Clinical-Stage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antibodies are in development to treat autoimmune and inflammatory diseases. We believe these molecules have potential applicability across a broad range of autoimmune and inflammatory diseases, including in gastroenterology, rheumatology, dermatology, respiratory, and other therapeutic areas.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ANB033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expressed by cytolytic CD8 T cells as well as NK cells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announced top-line data from a healthy volunteer Phase 1a trial of ANB033 in October 2025 that demonstrated no safety concerns at any dose and a rapid and sustained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in the peripheral blood with both IV and SC modes of administration. In this trial, treatment with ANB033 resulted in: 1) a 70-75% reduction in CD122-expressing CD8 T cells, which did not result in a meaningful reduction in overall CD8 T cells; 2) elimination of effectively all CD122-expressing NK cells, but the overall NK cell count remained above the levels believed to be needed to maintain immune competency as not all NK cells in humans express CD122 and 3) no observed overall reductions of regulatory T cell 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conducting a randomized placebo-controlled ~70-patient, global Phase 1b trial cohort of ANB033 in celiac disease (“CeD”). This trial will assess both a cohort of patients with baseline villus height to crypt depth (“Vh:Cd”) ratio greater than 2.0 in a gluten-challenge to assess prevention of further mucosal damage, as well as a cohort of patients with a Vh:Cd ratio less than or equal to 2.5, who will not be subjected to a gluten-challenge, to assess the ability to heal mucosal damage in patients with active symptoms. The cohorts will each be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Fast Track designation to ANB033 for the treatment of people with CeD on a gluten-free diet.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conducting a global Phase 1b trial cohort of ANB033 in eosinophilic esophagitis (“EoE”). We intend the cohort to enroll 50 patients, randomized 1:1 between one dose level of subcutaneously administered ANB033 dose and placebo, who have histologic evidence of EoE with peak eosinophil count ≥15/hpf at the screening endoscopy and with symptomatic dysphagia. Key assessments include safety and tolerability, efficacy assessments including the DSQ and peak eos/hpf, as well as PK and immunogenicity.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Rosnilimab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achieved statistical significance at 600 mg (p &lt; 0.05); and CDAI LDA achieved statistical significance at 100 mg (p &lt; 0.05) and 400 mg (p &lt; 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completed an End-of-Phase 2 (“EOP2”) meeting with the FDA in the first quarter of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table summarizing the results for primary and secondary endpoints follows:</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2581"/>
        <w:gridCol w:w="346"/>
        <w:gridCol w:w="186"/>
        <w:gridCol w:w="594"/>
        <w:gridCol w:w="146"/>
        <w:gridCol w:w="146"/>
        <w:gridCol w:w="246"/>
        <w:gridCol w:w="789"/>
        <w:gridCol w:w="146"/>
        <w:gridCol w:w="421"/>
        <w:gridCol w:w="194"/>
        <w:gridCol w:w="841"/>
        <w:gridCol w:w="146"/>
        <w:gridCol w:w="421"/>
        <w:gridCol w:w="225"/>
        <w:gridCol w:w="810"/>
        <w:gridCol w:w="146"/>
        <w:gridCol w:w="561"/>
      </w:tblGrid>
      <w:tr>
        <w:trPr/>
        <w:tc>
          <w:tcPr>
            <w:tcW w:w="2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Efficacy Measure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Placebo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100mg Q4W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400mg Q4W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600mg Q2W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94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Primary Endpoint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DAS28-CRP at 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(mean change from baseline)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945" w:type="dxa"/>
            <w:gridSpan w:val="1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Select Secondary Endpoint^ (% of participants)</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ACR20</w:t>
            </w:r>
            <w:r>
              <w:rPr>
                <w:rFonts w:ascii="Times New Roman" w:hAnsi="Times New Roman"/>
                <w:color w:val="000000"/>
                <w:sz w:val="20"/>
              </w:rPr>
              <w:t> at Week 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ACR50</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ACR70</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CDAI ≤10 (LDA)</w:t>
            </w:r>
            <w:r>
              <w:rPr>
                <w:rFonts w:ascii="Times New Roman" w:hAnsi="Times New Roman"/>
                <w:color w:val="000000"/>
                <w:sz w:val="20"/>
              </w:rPr>
              <w:t> at 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945" w:type="dxa"/>
            <w:gridSpan w:val="1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Select Exploratory Endpoints (Mean Change from Baseline)</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DAS28-CRP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hs-CRP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Patient Global Assessment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HAQ-DI (range 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Pain VAS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p-value indicates the probability of observing the reported results if there is no difference without treatment (i.e., the null hypothesis is true). Smaller p-values indicate stronger evidence of statistical evidence.</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*p&lt;0.05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**p&lt;0.01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***p&lt;0.001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Tfh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ANB101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initiated a Phase 1 clinical trial of ANB101 in healthy volunteers in March 2025 and completed the trial in August 2026. ANB101 preclinical data suggests it is a more potent antibody compared to litifilimab with a longer half-life that results in a deeper and more durable PD effect on pDC depletion.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certain key information about our wholly owned product candidates:</w:t>
      </w:r>
    </w:p>
    <w:p>
      <w:pPr>
        <w:pStyle w:val="TextBody"/>
        <w:bidi w:val="0"/>
        <w:jc w:val="center"/>
        <w:rPr/>
      </w:pPr>
      <w:r>
        <w:rPr/>
        <w:t> </w:t>
      </w:r>
    </w:p>
    <w:p>
      <w:pPr>
        <w:pStyle w:val="TextBody"/>
        <w:bidi w:val="0"/>
        <w:jc w:val="center"/>
        <w:rPr/>
      </w:pPr>
      <w:r>
        <w:rPr/>
        <w:drawing>
          <wp:inline distT="0" distB="0" distL="0" distR="0">
            <wp:extent cx="6858000" cy="405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4057650"/>
                    </a:xfrm>
                    <a:prstGeom prst="rect">
                      <a:avLst/>
                    </a:prstGeom>
                  </pic:spPr>
                </pic:pic>
              </a:graphicData>
            </a:graphic>
          </wp:inline>
        </w:drawing>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our research and development activities, preclinical and clinical development of our programs, and manufacturing. Our research and development expenses include: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External research and development expenses incurred under arrangements with third parties, such as contract research organizations (“CROs”), consultants, members of our scientific and therapeutic advisory boards, and contract manufacturing organizations (“CMOs”);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stock-based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and sub-license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incur in-process research and development expense as we acquire assets from other parties. Acquired in-process research and development costs that have no alternative future use are immediately expensed.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conducting research and development activities primarily on inflammation programs. We have a research and development team that conducts antibody characterization, translational studies, Investigational New Drug (“IND”)-enabling preclinical studies, and clinical development. We conduct some of our preclinical activities internally and plan to rely on third parties, such as CROs and CMOs, for the execution of certain of our research and development activities, such as in vivo toxicology and pharmacology studies, drug product manufacturing, and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fluctuate for the foreseeable future as we continue to advance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and long-term investments and is recognized when earned.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Form 10 filed with the SEC on March 27,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JOBS Act Accounting Election and 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(“EGC”). The Jumpstart Our Business Startups Act (the “JOBS Act”) contains provisions that, among other things, reduce certain reporting requirements for an EGC.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 Refer to Note 2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statements included elsewhere in this Quarterly Report for additional information regarding new or revised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certain types of new requirements adopted by the Public Company Accounting Oversight Board;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the Spin-Off. However, if certain events occur prior to the end of such five-year period, including if we become a “large accelerated filer,” our annual gross revenue equals or exceeds $1.235 billion or we issue more than $1.0 billion of non-convertible debt in any three-year period, we will cease to be an “emerging growth company” prior to the end of such five-year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We may continue to be a smaller reporting company even after we are no longer an emerging growth company. We intend to take advantage of certain of the scaled disclosures available to smaller reporting companies and will be able to take advantage of these scaled disclosures for so long as shares of our voting and non-voting common stock held by non-affiliates is less than $250.0 million measured on the last business day of our second fiscal quarter, or our annual revenue is less than $100.0 million during the most recently completed fiscal year and shares of our voting and non-voting common stock held by non-affiliates is less than $700.0 million measured on the last business day of our second fiscal quarter.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Operations—Comparison of the Three and Six Months Ended June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$25.6 million during the three months ended June 30, 2026 compared to $39.3 million during the three months ended June 30, 2025, a decrease of $13.7 million. The decrease is primarily attributable to a $11.1 million decrease in clinical and related expenses, and a $2.6 million decrease in salaries and related costs, including stock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$59.6 million during the six months ended June 30, 2026 compared to $80.7 million during the six months ended June 30, 2025, a decrease of $21.1 million. The decrease is primarily attributable to a $20.1 million decrease in clinical and related expenses, and a $1.0 million decrease in salaraies and related costs, including stock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8"/>
        <w:gridCol w:w="346"/>
        <w:gridCol w:w="211"/>
        <w:gridCol w:w="676"/>
        <w:gridCol w:w="146"/>
        <w:gridCol w:w="146"/>
        <w:gridCol w:w="211"/>
        <w:gridCol w:w="676"/>
        <w:gridCol w:w="146"/>
        <w:gridCol w:w="146"/>
        <w:gridCol w:w="261"/>
        <w:gridCol w:w="912"/>
        <w:gridCol w:w="166"/>
        <w:gridCol w:w="211"/>
        <w:gridCol w:w="676"/>
        <w:gridCol w:w="166"/>
        <w:gridCol w:w="146"/>
        <w:gridCol w:w="211"/>
        <w:gridCol w:w="676"/>
        <w:gridCol w:w="146"/>
        <w:gridCol w:w="146"/>
        <w:gridCol w:w="261"/>
        <w:gridCol w:w="912"/>
        <w:gridCol w:w="413"/>
      </w:tblGrid>
      <w:tr>
        <w:trPr/>
        <w:tc>
          <w:tcPr>
            <w:tcW w:w="21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ANB033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Rosnilimab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ANB101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ANB032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and other unallocated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Internal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$9.3 million during the three months ended June 30, 2026 compared to $6.6 million during the three months ended June 30, 2025, an increase of approximately $2.7 million. The increase is primarily due to a $2.0 million increase in personnel costs, an increase of $1.1 million in stock compensation expense, and a $1.0 million increase in legal expenses, offset by a $1.4 million decrease in other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$28.1 million during the six months ended June 30, 2026 compared to $16.4 million during the six months ended June 30, 2025, an increase of approximately $11.7 million. The increase is primarily due to a $2.6 million increase in personnel costs, an increase of $5.1 million in stock compensation expense, and a $5.0 million increase in legal expenses, offset by a $1.0 million decrease in other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may increase for the foreseeable future as we incur costs associated with stock compensation expense, legal, auditing and filing fees, additional insurance premiums, investor relations expenses and general compliance and consulting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was $1.6 million and $3.5 million during the three months ended June 30, 2026 and 2025, respectively, which primarily related to our short-term and long-term investments. The decrease in interest income is primarily due to the decrease in investment balances, as well as the timing of sales, maturities and purchases of our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was $3.9 million and $7.6 million during the six months ended June 30, 2026 and 2025, respectively, which primarily related to our short-term and long-term investments. The decrease in interest income is primarily due to the decrease in investment balances, as well as the timing of sales, maturities and purchases of our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net was less than $0.1 million during the three and six months ended June 30,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have historically been satisfied as part of AnaptysBio’s corporate-wide cash management and centralized funding programs. This arrangement is not reflective of the manner in which we would have financed our operations had we been a standalone public company during the periods presented. Following the Spin-Off, we expect to incur significant expenses and operating losses for the foreseeable future as we continue the clinical development of our programs and our research activities. We have not yet commercialized any products and we do not expect to generate revenue from sales of products in the near future, if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26, 2026, First Tracks Biotherapeutics and EcoR1 Capital Fund Qualified, L.P. (“EcoR1”) entered into a securities purchase agreement (the “Purchase Agreement”) with certain third party investors (collectively, the “Selling Stockholders” and each, a “Selling Stockholder”), pursuant to which, following the closing of the Spin-Off, First Tracks Biotherapeutics issued and sold an aggregate 5,791,479 shares of First Tracks Biotherapeutics common stock (the “Primary Shares”), and EcoR1 sold an aggregate of 4,705,575 shares of First Tracks Biotherapeutics common stock (the “Secondary Shares”) that EcoR1 received in the to the Selling Stockholders, at a purchase price of $13.81 per share (the “Private Placement”). The aggregate gross proceeds to First Tracks Biotherapeutics from the sale of the Primary Shares was approximately $80 million, before deducting offering expenses. First Tracks Biotherapeutics did not receive any proceeds from the sale of the Secondary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totaled $168.0 million as of June 30, 2026, compared to $311.6 million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plans, we believe that our existing cash, cash equivalents and investments will fund our current operating plan for at least the next 12 months from the issuance of our financial statements. We have based this estimate on assumptions that may prove to be wrong, and we could use our capital resources sooner than we expect and we may fail to complete development of one or more of our products. Additionally, the process of testing product candidates in clinical trials and seeking regulatory approval is costly, and the timing of progress and expenses in these trials is uncertain.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3696"/>
        <w:gridCol w:w="346"/>
        <w:gridCol w:w="211"/>
        <w:gridCol w:w="736"/>
        <w:gridCol w:w="166"/>
        <w:gridCol w:w="146"/>
        <w:gridCol w:w="211"/>
        <w:gridCol w:w="736"/>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2026 of $64.5 million was primarily due to our net loss of $83.9 million, adjusted for addbacks for non-cash expenses of $20.3 million, which includes depreciation, stock-based compensation, amortization of operating right-of-use assets, income from marketable securities and net decreases in working capital of $0.9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2025 of $83.6 million was primarily due to our net loss of $89.6 million, adjusted for addbacks for non-cash expenses of $13.3 million, which includes depreciation, stock-based compensation, amortization of operating ROU assets, and income from marketable securities, and net decreases in working capital of $7.3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during the six months ended June 30, 2026 of $35.0 million, primarily relates to the sale and maturities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during the six months ended June 30, 2025 was $51.3 million, primarily due to the sale and maturities of investments of $228.1 million, offset by the acquisition of investments of $176.8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cash used in financing activities during the six months ended June 30, 2026 was $40.7 million, primarily due to the proceeds from our public offering and the separation from AnaptysBio offset by the net investment by AnaptysBio.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cash used in financing activities during the six months ended June 30, 2025 of $46.4 million was due to the net investment by AnaptysBio.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before="24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have been no material changes surrounding our market risk, including interest rate risk, inflation risk, and foreign currency exchange risk from the discussion provided in our amended Form 10 filed with the SEC on March 27, 2026.</w:t>
      </w:r>
    </w:p>
    <w:p>
      <w:pPr>
        <w:pStyle w:val="TextBody"/>
        <w:bidi w:val="0"/>
        <w:spacing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2026,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quarter ended June 30, 2026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sz w:val="20"/>
        </w:rPr>
      </w:pPr>
      <w:r>
        <w:rPr>
          <w:rFonts w:ascii="Times New Roman" w:hAnsi="Times New Roman"/>
          <w:color w:val="000000"/>
          <w:sz w:val="20"/>
        </w:rPr>
        <w:t>An investment in shares of our common stock involves various risks. Please carefully consider the matters discussed in the section titled “</w:t>
      </w:r>
      <w:r>
        <w:rPr>
          <w:rFonts w:ascii="Times New Roman" w:hAnsi="Times New Roman"/>
          <w:i/>
          <w:color w:val="000000"/>
          <w:sz w:val="20"/>
        </w:rPr>
        <w:t>Risk Factors</w:t>
      </w:r>
      <w:r>
        <w:rPr>
          <w:rFonts w:ascii="Times New Roman" w:hAnsi="Times New Roman"/>
          <w:color w:val="000000"/>
          <w:sz w:val="20"/>
        </w:rPr>
        <w:t>” of this Quarterly Report for a description of the principal risks that we face. These risks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future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will be subject to significant post-marketing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history of commercializing biotechnology products, which may make it difficult to evaluate the prospects for our future viability.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 care payors and others in the medical community necessary for commercial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manufacture of biologics is complex, and our third-party manufacturers may encounter difficulties in production. If any of our third-party manufacturers encounter such difficulties, our ability to provide supply of our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trials, our ability to obtain marketing approval, or our ability to provide supply of our products for patients, if approved, could be delayed or stopped.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operating revenue and a history of operational losses and may not achieve or sustain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products approved for commercial sale, and to date we have not generated any revenue or profit from sales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succeed in establishing and maintaining additional development and commercialization collaborations, which could adversely affect our ability to develop and commercialize product candidates, including for rosnilimab in RA or other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in the U.S. and throughout the world, we may not be able to compete effectively in our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attract and retain highly skilled employees in order to succeed.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achieve some or all of the benefits that we expect to achieve from the Spin-Off.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 price may fluctuate significantly, and you could lose all or part of your investment.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recent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share some of our directors and executive officers with AnaptysBio. This overlap may give rise to certain conflicts of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Discovery and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therapeutic antibodies, including our wholly owned product candidates. However, all of our wholly owned product candidates are in various stages of development, and, for a wide variety of reasons discussed below, may fail in development or suffer delays that adversely affect their commercial viability.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other ongoing or future clinical trials of any of our product candidates, including ANB033, rosnilimab or ANB101, are unsuccessful, whether for one of the reasons mentioned above or otherwise, our product candidates may be delayed in development or fail entirely, which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current product candidates, and any other product candidates we may develop in the future, will depend on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enrollment of patients in, and the completion of, our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receiving marketing approvals from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commercial manufacturing capabilities and/or making arrangements with third-party manufacturers;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non-patent exclusivity for our product candidates and their components;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achieving desirable therapeutic properties for our product candidates’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third parties;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the medical community and third-party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effectively competing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maintaining an acceptable safety profile of our product candidates through clinical trials and following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narrow uses or subpopulations in which the undesirable side effects or other characteristics are less prevalent, less severe or more acceptable from a risk-benefit perspective.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any future collaborators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before="240" w:after="283"/>
        <w:jc w:val="left"/>
        <w:rPr>
          <w:rFonts w:ascii="Times New Roman" w:hAnsi="Times New Roman"/>
          <w:sz w:val="20"/>
        </w:rPr>
      </w:pPr>
      <w:r>
        <w:rPr>
          <w:rFonts w:ascii="Times New Roman" w:hAnsi="Times New Roman"/>
          <w:b/>
          <w:i/>
          <w:color w:val="000000"/>
          <w:sz w:val="20"/>
        </w:rPr>
        <w:t>We and/or any future collaborators may be unable to obtain, or may be delayed in obtaining, required regulatory approvals in the United States or in foreign jurisdictions, which would materially impair our ability to commercialize and generate revenue from our product candidates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any future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or any future collaborators initiate and complete clinical trials for our product candidates, these product candidates will not be permitted to be marketed in the United States until approval of a Biologics License Application (“BLA”) from the FDA is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imposition of a clinical hold for safety reasons or following an inspection of clinical trial operations or site by the FDA or other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challenges;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insufficient supply or quality of product candidates or other materials necessary to conduct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non-clinical or clinical sites becoming unavailable due to political, economic, or public health events;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sites electing to terminate their participation in one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or unwillingness of patients or medical investigators to follow clinical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required clinical trial administrative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slower than anticipated patient enrollment;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changing standards of care;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concerns;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availability or prevalence of use of a comparative drug or required prior therapy;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outcomes or financial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experience any of the issues described above, or other similar or related issues, we or any future collaborators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regulatory approvals that we or any future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Practices (“cGMP”) regulations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any future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any future collaborators, including requiring recall or withdrawal of the product from the market or suspension of manufacturing. In addition, failure to comply with FDA and foreign regulatory requirements may, either before or after product approval, if any, subject our company or any future collaborators to administrative or judicially imposed sanctions,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approve pending BLAs or supplements to approved BLAs.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alone or with any future collaborators, to commercialize our product candidates and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Department of Justice (“DOJ”), the U.S. Department of Health and Human Services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no history of commercializing biotechnology products, which may make it difficult to evaluate the prospects for our future viability.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to date have been largely limited to financing and staffing our company, and developing our wholly owned product candidates. We have only very limited experience conducting pivotal Phase 3 clinical trials and have not had previous experience commercializing product candidates, including submitting a BLA to the FDA. In part because of this lack of experience,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suspension or termination of a clinical trial once commenced;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conditions imposed by the FDA or foreign regulatory authorities regarding the number, scope or design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varying interpretations of data by the FDA and foreign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as a clinical-stage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anti-CD122 antagonist antibody program, our clinical competitors include an anti-CD122 antagonist antibody, FB-102 (Forte Bioscience, acquisition by Argenyx BV expected to close in Q3 2026) in Phase 2a development for the treatment of CeD, Phase 1b development for the treatment of vitiligo, and Phase 1b development for the treatment of alopecia areata, and three anti-IL-15 monoclonal antibodies, GIA632 (Novartis) in Phase 2 development for atopic dermatitis, Phase 2 development for vitiligo, and with proof-of-concept, Phase 1b data for the treatment of CeD and EoE, TEV-53408 (Teva), in Phase 2 development for the treatment of CeD and vitiligo. To date, there are no FDA-approved therapies for the treatment of celiac disease and only one FDA-approved biologic, Dupixent, for the treatment of EoE.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anti-BDCA2 program, our competitors include another anti-BDCA2 antibody, litifilimab (Biogen) in Phase 3 development for SLE and cutaneous lupus erythematosus, and a bispecific fusion protein targeting BDCA2 and BAFF/APRIL, DNTH212 (Dianthus Therapeutics) in Phase 1 development, and an anti-ILT7 antibody, daxdilimab (Amgen) in Phase 2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 care payors and others in the medical community necessary for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and safety profile as demonstrated in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use of our products, if approved, such as boxed warnings or contraindications in labeling or REMS, if any, which may not be required of alternative treatments and competitor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physicians, clinics and patients; the potential and perceived advantages of product candidates over alternative treatments, including any similar generic treatments;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coverage and adequate reimbursement and pricing by third parties and government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publicity relating to the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for the manufacturing of biologics used in clinical trials and, if approved, marketed products. Moreover, if the FDA determines that our manufacturer is not in compliance with FDA laws and regulations, including cGMP, the FDA may deny BLA approval until the deficiencies are corrected or we replace the manufacturer in our BLA with a manufacturer that is in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all of our therapeutic antibodies are manufactured by starting with cells which are stored in a cell bank. We have one master cell bank for each antibody manufactured in accordance with cGMP and create working cell banks to support cGMP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any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Some of our suppliers may experience disruption to their respective supply chain due to the effects of macroeconomic conditions, which could delay, prevent or impair our development or commercialization efforts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macroeconomic and geopolitical environment may have a material impact on the U.S. and global economies and could materially impact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government trade policies, including changes to tariffs and other non-tariff barriers, may have a material impact on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no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a clinical-stage biotechnology company with a limited operating history. We have no approved products. Our ability to generate revenue and become profitable depends upon our ability, alone or with any future collaborators, to successfully complete the development of our product candidates for our target indications and to obtain necessary regulatory approvals. Further, following the Spin-Off, we no longer generate revenue from the potential royalty revenue streams held by AnaptysBio (i.e.,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and expect to continue to incur, operating losses. We had a net loss of $33.4 million and $83.9 million for the three and six months ended June 30, 2026, respectively, and a net loss of $42.4 million and $89.6 million for the three and six months ended June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devoted substantially all of our efforts to research and development. Across our development portfolio, we expect to continue to incur significant expenses and increasing operating losses for the foreseeable future, and the net losses we incur may fluctuate significantly from quarter to quarter. Our ability to generate future product revenue from our current or future product candidates depends on a number of additional factors, including our ability (or as applicable any future collaborators’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research and preclinical development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 into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additional preclinical studies and initiate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approvals for the product candidates that we develop or are developed under future collaboration arrangements;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additional executive, clinical, quality control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and ensure adequate and legally compliant manufacturing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coverage and adequate product reimbursement from third-party payors, including government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 or in-license other product candidates and technologies;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market acceptance for our or any future collaborators’ products,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only in the clinical development stages for our most advanced product candidates. In order to become and remain profitable, we must, alone or with any future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the value of your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As a research and development company, our operations have consumed substantial amounts of cash.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For more information on these expenses, see “</w:t>
      </w:r>
      <w:r>
        <w:rPr>
          <w:rFonts w:ascii="Times New Roman" w:hAnsi="Times New Roman"/>
          <w:i/>
          <w:color w:val="000000"/>
          <w:sz w:val="20"/>
        </w:rPr>
        <w:t>Management’s Discussion and Analysis of Financial Condition and Results of Operations—Funding Requirements</w:t>
      </w:r>
      <w:r>
        <w:rPr>
          <w:rFonts w:ascii="Times New Roman" w:hAnsi="Times New Roman"/>
          <w:color w:val="000000"/>
          <w:sz w:val="20"/>
        </w:rPr>
        <w:t>.” Furthermore, we expect to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future collaboration agreements to continue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delay, scale back or discontinue the development or commercialization of our product candidates or cease operations altogether;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strategic alliances for research and development programs at an earlier stage than we would otherwise desire or on terms less favorable than might otherwise be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future product candidates that we otherwise would seek to develop or commercialize ourselves;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eliminate staff to conserve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need to conduct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foreign exchange rates, could prevent us from raising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color w:val="000000"/>
          <w:sz w:val="20"/>
        </w:rPr>
        <w:t>Risk Factors</w:t>
      </w:r>
      <w:r>
        <w:rPr>
          <w:rFonts w:ascii="Times New Roman" w:hAnsi="Times New Roman"/>
          <w:color w:val="000000"/>
          <w:sz w:val="20"/>
        </w:rPr>
        <w:t>” section. We have based this estimate on assumptions that may prove to be wrong, and we could use our available capital resources sooner than we currently expect. Our future funding requirements, both short and long term,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and future product candidates we may develop;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size of clinical trials needed to show safety, efficacy and an acceptable risk/benefit profile for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or failure of products sold by any future collaborators and the timing thereof;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of any approved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recruiting and retaining key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fees associated with any delays or cancellations of forecasted manufacturing batches;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and timing of selecting, auditing and potentially validating manufacturing sites for commercial-scale manufacturing;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for which we may receive regulatory approval and that we determine to commercialize ourselves or in collaboration with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capital may cause dilution to our stockholders, restrict our operations or require us to relinquish rights to our product candidates on unfavorable terms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capital through a variety of means, including through public or private equity, debt financings or other sources, including up-front payments and milestone payments from strategic collaborations, license agreements and royalty agreements. To the extent that we raise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capital due to favorable market conditions or strategic considerations even if we believe we have sufficient funds for our current or future operating plans.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part of our strategy is to enter into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fail to establish and maintain collaborations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of certain of our current or future product candidates may be terminated or delayed;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expenditures related to development of certain of our current or future product candidates would increase significantly and we may need to seek additional financing;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hire additional employees or otherwise develop expertise, such as sales and marketing expertise, for which we have not budgeted;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bear all of the risk related to the development and commercialization of any such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nonclinical, clinical and future commercial drug supplies of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outsource the manufacture of our product candidates. We do not currently have the infrastructure or internal capability to manufacture supplies of our product candidates for use in development and commercialization. If we were to experience 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to obtain regulatory approval in international jurisdictions would prevent us or any future collaborators from marketing our product candidates outside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other jurisdictions, we or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any future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drugs we develop may become subject to unfavorable third-party reimbursement practices and pricing regulations.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any future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any future collaborators may not successfully commercialize any product candidate for which marketing approval is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any future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any future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any future collaborators commercialize and, if reimbursement is available, what the level of reimbursement and the timing of achieving a reimbursement determination will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any future collaborators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reform measures may increase the difficulty and cost for us or any future collaborators to obtain marketing approval of and commercialize our product candidates and affect the pricing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any future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any future collaborators are able to obtain marketing approval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Patient Protection and Affordable Care Act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at the United States federal and state levels to reduce healthcare expenditures. For example, several healthcare reform initiatives culminated in the enactment of the Inflation Reduction Act (“IRA”), in August 2022, which allows, among other things, HHS to negotiate the selling price of certain drugs and biologics that CMS reimburses under Medicare Part B and Part D, although this only applies to high-expenditure single-source drugs that have been approved for at least seven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It is likely these new laws will be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any future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 care providers and third-party payors play a primary role in the recommendation and prescription of any product candidates for which we or any future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any future collaborators market, sell and distribute our product candidates for which marketing approval is obtained. Restrictions under applicable federal and state health care laws and regulations include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comply with privacy and data security laws, regulations and standards may cause our business to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noncompliance with regulatory standards and requirements and insider trading.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prior to the closing of the Spin-Off,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we may not be able to compete effectively in our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significant part on our and our licensors’ or any future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or any future collaborators may not be able to prepare, file and prosecute all necessary or desirable patent applications at a reasonable cost or in a timely manner. It is also possible that we or our licensors or any future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third parties and are reliant on our licensors or any future collaborators. Therefore, these patents and applications may not be prosecuted and enforced in a manner consistent with the best interests of our business. If our current or future licensors, licensees or any future collaborators fail to establish, maintain or protect such patents and other intellectual property rights, such rights may be reduced or eliminated. If our licensors or any future collaborators are not fully cooperative or disagree with us as to the prosecution, maintenance or enforcement of any patent rights, such patent rights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any future collaborators’ patent rights are highly uncertain. Our and our licensors’ or any future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any future collaborators to narrow the scope of the claims of our or our licensors’ or any future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obtain now or in the future could be narrowed during prosecution, or later held invalid or unenforceable. Our ability to obtain and maintain meaningful patent protection for our antibodies may depend on accurate and complete disclosure of technical characterizations of our antibodies, including biological sequence information. Any errors, omissions, inconsistencies, or later-developed scientific understanding that affects how our antibodies are characterized (including sequence information, epitope mapping, competition data, binding assays, or structure-function relationships) could impair our ability to obtain, maintain, or enforce patents, could provide a basis for third-party challenges, or could necessitate claim narrowing. In addition, some patent applications that we or our licensors have filed or will file in the future might not result in issued patents because we or our licensors have abandoned those patent applications as changes in business and/or legal strategies dictated.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or any future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patent applications in the United States and most other countries are confidential for a period of time after filing, and some remain so until issued, we cannot be certain that we or our licensors or any future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or our licensors’ licensees’ or any future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any future collaborators may not be able to prevent third parties from practicing our and our licensors’ or any future collaborators’ inventions in all countries outside the United States or from selling or importing products made using our and our licensors’ or any future collaborators’ inventions in and into the United States or other jurisdictions. Competitors may use our and our licensors’ or any future collaborators’ technologies in jurisdictions where we have not obtained patent protection to develop their own products and, further, may export otherwise infringing products to territories where we and our licensors or any future collaborators have patent protection but enforcement is not as strong as that in the United States. These products may compete with our product candidates, and our and our licensors’ or any future collaborators’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any future collaborators to stop the infringement of our and our licensors’ or any future collaborators’ patents or marketing of competing products in violation of our and our licensors’ or any future collaborators’ proprietary rights generally. Proceedings to enforce our and our licensors’ or any future collaborators’ patent rights in foreign jurisdictions could result in substantial costs and divert our and our licensors’ or any future collaborators’ efforts and attention from other aspects of our business, could put our and our licensors’ or any future collaborators’ patents at risk of being invalidated or interpreted narrowly and our and our licensors’ or any future collaborators’ patent applications at risk of not issuing and could provoke third parties to assert claims against us or our licensors or any future collaborators. We or our licensors or any future collaborators may not prevail in any lawsuits that we or our licensors or any future collaborators initiate, and the damages or other remedies awarded, if any, may not be commercially meaningful. 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European patents across multiple jurisdictions, or that we could be subject to injunctive relief affecting multiple markets, if subjected to the jurisdiction of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licensors’, licensees’ or any future collaborators’ patent applications and the enforcement or defense of our or our licensors’, licensees’ or any future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future and recent past changes in the patent laws in the U.S. and abroad could impact or could increase the uncertainties and costs surrounding the prosecution of our and our licensors’ or any future collaborators’ patent applications and the enforcement or defense of our or our licensors’ or any future collaborators’ issued patents, which could have an impact on our business and financial conditions. For example, the U.S. Supreme Court and the U.S. Court of Appeals for the Federal Circuit rendered decisions in several patent cases such as </w:t>
      </w:r>
      <w:r>
        <w:rPr>
          <w:rFonts w:ascii="Times New Roman" w:hAnsi="Times New Roman"/>
          <w:i/>
          <w:color w:val="000000"/>
          <w:sz w:val="20"/>
        </w:rPr>
        <w:t>Association for Molecular Pathology v. Myriad Genetics, Inc., BRCA1- &amp; BRCA2-Based Hereditary Cancer Test Patent Litig.</w:t>
      </w:r>
      <w:r>
        <w:rPr>
          <w:rFonts w:ascii="Times New Roman" w:hAnsi="Times New Roman"/>
          <w:color w:val="000000"/>
          <w:sz w:val="20"/>
        </w:rPr>
        <w:t xml:space="preserve">, </w:t>
      </w:r>
      <w:r>
        <w:rPr>
          <w:rFonts w:ascii="Times New Roman" w:hAnsi="Times New Roman"/>
          <w:i/>
          <w:color w:val="000000"/>
          <w:sz w:val="20"/>
        </w:rPr>
        <w:t>Mayo Collaborative Services v. Prometheus Laboratories, Inc.</w:t>
      </w:r>
      <w:r>
        <w:rPr>
          <w:rFonts w:ascii="Times New Roman" w:hAnsi="Times New Roman"/>
          <w:color w:val="000000"/>
          <w:sz w:val="20"/>
        </w:rPr>
        <w:t xml:space="preserve">, </w:t>
      </w:r>
      <w:r>
        <w:rPr>
          <w:rFonts w:ascii="Times New Roman" w:hAnsi="Times New Roman"/>
          <w:i/>
          <w:color w:val="000000"/>
          <w:sz w:val="20"/>
        </w:rPr>
        <w:t>Alice Corporation Pty. Ltd. v. CLS Bank International</w:t>
      </w:r>
      <w:r>
        <w:rPr>
          <w:rFonts w:ascii="Times New Roman" w:hAnsi="Times New Roman"/>
          <w:color w:val="000000"/>
          <w:sz w:val="20"/>
        </w:rPr>
        <w:t xml:space="preserve">, and </w:t>
      </w:r>
      <w:r>
        <w:rPr>
          <w:rFonts w:ascii="Times New Roman" w:hAnsi="Times New Roman"/>
          <w:i/>
          <w:color w:val="000000"/>
          <w:sz w:val="20"/>
        </w:rPr>
        <w:t>Amgen v. Sanofi</w:t>
      </w:r>
      <w:r>
        <w:rPr>
          <w:rFonts w:ascii="Times New Roman" w:hAnsi="Times New Roman"/>
          <w:color w:val="000000"/>
          <w:sz w:val="20"/>
        </w:rPr>
        <w:t xml:space="preserve"> either narrowing the scope of patent protection available in certain circumstances or weakening the rights of patent owners in certain situations. In addition to increasing uncertainty with regard to our and our licensors’ or any future collaborators’ ability to obtain patents in the future, these types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any future collaborators’ ability to obtain new patents or to enforce existing patents and patents that we and our licensors or any future collaborators may obtain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any future collaborators fail to maintain the patents and patent applications covering our product candidates, our competitors might be able to enter the market, which would have an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plan to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w:t>
      </w:r>
      <w:r>
        <w:rPr>
          <w:rFonts w:ascii="Times New Roman" w:hAnsi="Times New Roman"/>
          <w:i/>
          <w:color w:val="000000"/>
          <w:sz w:val="20"/>
        </w:rPr>
        <w:t>provided</w:t>
      </w:r>
      <w:r>
        <w:rPr>
          <w:rFonts w:ascii="Times New Roman" w:hAnsi="Times New Roman"/>
          <w:color w:val="000000"/>
          <w:sz w:val="20"/>
        </w:rPr>
        <w:t xml:space="preserve">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Any future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future third-party collaborators. A competitor’s discovery of our trade secrets would impair our competitive position and have an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infringe our or our licensors’ or any future collaborators’ patents or misappropriate or otherwise violate our or our licensors’ or any future collaborators’ intellectual property rights. In the future, we or our licensors or any future collaborators may initiate legal proceedings to enforce or defend our or our licensors’ or any future collaborators’ intellectual property rights to protect our or our licensors’ or any future collaborators’ trade secrets or to determine the validity or scope of intellectual property rights we own or control. Also, third parties may initiate legal proceedings against us or our licensors or any future collaborators to challenge the validity or scope of intellectual property rights we own or control. These proceedings can be expensive and time-consuming, and many of our or our licensors’ or any future collaborators’ adversaries in these proceedings may have the ability to dedicate substantially greater resources to prosecuting these legal actions than we or our licensors or any future collaborators. In addition, in an infringement proceeding, a court may decide that a patent owned by or licensed to us is invalid or unenforceable, or may refuse to stop the other party from using the technology at issue on the grounds that our or our licensors’ or any future collaborators’ patents do not cover the technology in question. Furthermore, an adverse result in any litigation or administrative proceeding could put one or more of our or our licensors’ or any future collaborators’ patents at risk of being invalidated, held unenforceable or interpreted narrowly.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despite our or our licensors’ or any future collaborators’ efforts, we or our licensors, licensees or any future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any future collaborators to protect or enforce our or our licensors’ or any future collaborators’ patents or patent applications. Additionally, third-party preissuance submission of prior art to the USPTO or other foreign jurisdictions may jeopardize the issuance or scope of our or our licensors’ or any future collaborators’ patent applications. An unfavorable outcome in any such proceedings could require us or our licensors or any future collaborators to cease using the related technology, or to attempt to license rights to it from the prevailing party. Our business could be harmed if the prevailing party does not offer us or our licensors or any future collaborators a license on commercially reasonable terms or at all, and we could be forced to stop commercializing our product candidates. Even if we or our licensors or any future collaborators obtain a license, it may be non-exclusive, thereby giving our competitors access to the same technologies licensed to us or our licensors or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or our licensors’ or any future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breach the license agreements related to our product candidates, we could lose the ability to continue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licensors and collaborators to develop, manufacture, market and sell our product candidates and use our and our licensors’ or any future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Pharmaceuticals (UK) Limited (“Centessa”), which relates to our product candidate, ANB101, and are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arise regarding intellectual property subject to a licensing agreement,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collaboration relationships we might enter into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us and our licensors or any future collaborators;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or any future licensing arrangements on acceptable terms, we may be unable to successfully develop and commercialize the affected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initiate legal proceedings against us or our licensors or any future collaborators alleging that we or our licensors or any future collaborators infringe their intellectual property rights or we or our licensors or any future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any future collaborators’ adversaries in these proceedings may have the ability to dedicate substantially greater resources to prosecuting these legal actions than we or our licensors or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involve substantial litigation expense and would be a substantial diversion of management and employee resources from our business. An unfavorable outcome could require us or our licensors or any future collaborators to cease using the related technology, to cease developing or commercializing our product candidates or to attempt to license rights to it from the prevailing party. Our business could be harmed if the prevailing party does not offer us or our licensors or any future collaborators a license on commercially reasonable terms or at all. Even if we or our licensors or any future collaborators obtain a license, it may be non-exclusive, thereby giving our competitors access to the same technologies licensed to us or our licensors or any future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inability to protect our confidential information and trade secrets would harm our business and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before="240" w:after="283"/>
        <w:jc w:val="left"/>
        <w:rPr>
          <w:rFonts w:ascii="Times New Roman" w:hAnsi="Times New Roman"/>
          <w:sz w:val="20"/>
        </w:rPr>
      </w:pPr>
      <w:r>
        <w:rPr>
          <w:rFonts w:ascii="Times New Roman" w:hAnsi="Times New Roman"/>
          <w:i/>
          <w:color w:val="000000"/>
          <w:sz w:val="20"/>
        </w:rPr>
        <w:t>I</w:t>
      </w:r>
      <w:r>
        <w:rPr>
          <w:rFonts w:ascii="Times New Roman" w:hAnsi="Times New Roman"/>
          <w:b/>
          <w:i/>
          <w:color w:val="000000"/>
          <w:sz w:val="20"/>
        </w:rPr>
        <w:t>f we do not obtain protection under the Hatch-Waxman Amendments and similar foreign legislation for extending the term of patents covering each of our product candidates, our business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Managing Growth, Operations and Macroeconomic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must attract and retain highly skilled employees in order to succeed.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occur in connection with the separation of our business may result in operational disruptions, and our business may be harmed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systems, or those of our future third-party collaborators or other service providers, may fail or suffer security breaches and cyber-attacks, which could result in a material disruption of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any future collaborators or our third-party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any future collaborators’ or in third-party service providers’ operations could result in a material disruption of our drug discovery and development programs. For example, the loss of clinical trial data from completed or future clinical trials could result in delays in our or any future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practices that could result in fines, lawsuits, and other penalties, and significant changes to our or any future collaborators or third-party service providers’ business practices and products and service offerings. To the extent that the measures we or any future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any future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any future collaborations and discover new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Spin-Off</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independent, publicly traded company, we may not enjoy the same benefits that we did as part of AnaptysBio.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independent, publicly traded company, we may become more susceptible to market fluctuations and other adverse events than we would have been if we were still a part of AnaptysBio. As part of AnaptysBio, we were able to enjoy certain benefits from AnaptysBio’s operating diversity, cost of capital and borrowing capacity, and opportunities to pursue integrated strategies with AnaptysBio’s other businesses. As an independent, publicly traded company, we may not have the same benefits. As an independent, publicly traded company, we will need to continue to develop new strategies, and it may be more difficult for us to recruit or retain key personnel.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very limited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Spin-Off, we operated as part of AnaptysBio. The financial information included in this Quarterly Report through the date of the Spin-Off has been prepared from AnaptysBio’s historical accounting records and is derived from the consolidated financial statements of AnaptysBio to present First Tracks Biotherapeutics as if it had been operating on a standalone basis. Accordingly, this information may not necessarily reflect what our financial condition, results of operations or cash flows would have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been had we been a standalone company during the periods presented or what our financial condition, results of operations and cash flows may be in the future, primarily because of the following factors: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Transition Services Agreement pursuant to which we provide AnaptysBio with certain specified services for a limited time, to ensure an orderly transition following the Spin-Off. The services we provide consist of digital technology, business development, human resources, supply chain, and finance, among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agreements and transactions with AnaptysBio that did not exist prior to the Spin-Off, such as our provision of transition and other services to AnaptysBio and have undertaken indemnification obligations, which may cause us to incur new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were historically satisfied as part of AnaptysBio’s corporate-wide cash management and centralized funding programs, and our cost of capital may differ significantly from the historical amounts reflected in our historical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was under common ownership with the other businesses of AnaptysBio, and we benefited from AnaptysBio’s existing collaborations and related royalty revenue streams, from which we no longer benefit.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directors and employees may have actual or potential conflicts of interest because of their financial interests in, or because of their previous or continuing positions with, AnaptysBio or other entities with which we have commercial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executive officers and our directors have continued to serve as executive officers and directors of AnaptysBio following completion of the Spin-Off. In light of the substantial operational, scientific and development demands associated with First Tracks Biotherapeutics as a clinical-stage biotechnology business focused on the development and potential commercialization of innovative therapeutics for autoimmune and inflammatory diseases, including ANB033, rosnilimab and ANB101, we expect that our executive officers will devote a majority of their working time to First Tracks Biotherapeutics. Given their ongoing responsibilities to AnaptysBio, certain of our executive officers are not able to devote their full time, effort and attention exclusively to our company’s affairs. In addition, because of their current positions with AnaptysBio, certain of our executive officers and directors own equity interests in both us and AnaptysBio. Continuing ownership of AnaptysBio shares and equity awards could create, or appear to create, potential conflicts of interest if we and AnaptysBio face decisions that could have implications for both us and AnaptysBio. Potential conflicts of interest could arise in connection with the resolution of any dispute between us and AnaptysBio regarding the terms of the agreements governing the Spin-Off and our relationship with AnaptysBio following the Spin-Off. Potential conflicts of interest may also arise out of any commercial arrangements that we or AnaptysBio may enter into in the future. A dispute regarding a potential or actual conflict of interest involving us and AnaptysBio or any of such other companies could negatively impact our businesses, results of operations, cash flows, and financial condition. In addition, public perception of such an actual or apparent conflict of interest could pose reputational risks and expose us to increased scrutiny from investors and regulators. Although we have policies governing conflicts of interest, including a written Related Party Transaction Policy applicable to our executive officers, directors and nominees for director, they may not sufficiently protect against these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stock may be volatile, and you could lose all or part of your investment.</w:t>
      </w:r>
    </w:p>
    <w:p>
      <w:pPr>
        <w:pStyle w:val="TextBody"/>
        <w:bidi w:val="0"/>
        <w:spacing w:before="240" w:after="283"/>
        <w:jc w:val="left"/>
        <w:rPr>
          <w:rFonts w:ascii="Times New Roman" w:hAnsi="Times New Roman"/>
          <w:sz w:val="20"/>
        </w:rPr>
      </w:pPr>
      <w:r>
        <w:rPr>
          <w:rFonts w:ascii="Times New Roman" w:hAnsi="Times New Roman"/>
          <w:color w:val="000000"/>
          <w:sz w:val="20"/>
        </w:rPr>
        <w:t>The trading price of shares of our common stock may be highly volatile and subject to wide fluctuations in response to various factors, some of which we cannot control. In addition to the factors discussed in this “</w:t>
      </w:r>
      <w:r>
        <w:rPr>
          <w:rFonts w:ascii="Times New Roman" w:hAnsi="Times New Roman"/>
          <w:i/>
          <w:color w:val="000000"/>
          <w:sz w:val="20"/>
        </w:rPr>
        <w:t>Risk Factors</w:t>
      </w:r>
      <w:r>
        <w:rPr>
          <w:rFonts w:ascii="Times New Roman" w:hAnsi="Times New Roman"/>
          <w:color w:val="000000"/>
          <w:sz w:val="20"/>
        </w:rPr>
        <w:t>” section and elsewhere in this Quarterly Report, these factors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preclinical studies and clinical trials of our product candidates or those of our competitors;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breaches and terminations of our manufacturing agreements, collaborations agreements or other important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conditions in the biotechnology sector;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the stock market in general, and the Nasdaq Stock Market LLC (the “Exchange”) and biotechnology companies in particular, have experienced extreme price and volume fluctuations that have often been unrelated or disproportionate to the operating performance of these companies. Broad market and industry factors may negatively affect the market price of shares of our common stock, regardless of our actual operating performance. In the past, following periods of volatility in the overall market and the market price of a particular company’s securities, securities class action litigation has often been instituted against these companies. AnaptysBio has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w:t>
      </w:r>
      <w:r>
        <w:rPr>
          <w:rFonts w:ascii="Times New Roman" w:hAnsi="Times New Roman"/>
          <w:i/>
          <w:color w:val="000000"/>
          <w:sz w:val="20"/>
        </w:rPr>
        <w:t>Risk Factors</w:t>
      </w:r>
      <w:r>
        <w:rPr>
          <w:rFonts w:ascii="Times New Roman" w:hAnsi="Times New Roman"/>
          <w:color w:val="000000"/>
          <w:sz w:val="20"/>
        </w:rPr>
        <w:t>” section, could have a dramatic and adverse impact on the market price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shares of our common stock may be volatile and, in the past, companies that have experienced volatility in the market price of their stock have been subject to securities class action litigation. We may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Substantial sales of shares of our common stock may occur in the future, which could cause our share price to decline or be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Private Placement, we filed a resale registration statement registering the shares we issued in the Private Placement. The sales of significant amounts of shares of our common stock or the perception in the market that such sales might occur may decrease the market price of a share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will be able to take advantage of reduced disclosure requirements applicable to “emerging growth companies,” which could make shares of our common stock less attractive to investors.</w:t>
      </w:r>
    </w:p>
    <w:p>
      <w:pPr>
        <w:pStyle w:val="TextBody"/>
        <w:bidi w:val="0"/>
        <w:spacing w:before="240" w:after="283"/>
        <w:jc w:val="left"/>
        <w:rPr>
          <w:rFonts w:ascii="Times New Roman" w:hAnsi="Times New Roman"/>
          <w:sz w:val="20"/>
        </w:rPr>
      </w:pPr>
      <w:r>
        <w:rPr>
          <w:rFonts w:ascii="Times New Roman" w:hAnsi="Times New Roman"/>
          <w:color w:val="000000"/>
          <w:sz w:val="20"/>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but are not limited to: not being required to comply with the auditor attestation requirements of Section 404(b) of the Sarbanes-Oxley Act, not being required to communicate critical audit matters in the auditor’s report, permission to present only two years of audited financial statements and only two years of related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our periodic reports and registration statements, including in this Quarterly Report, reduced disclosure obligations regarding executive compensation in our periodic reports and proxy statements and exemptions from the requirements of holding a nonbinding stockholder advisory vote on executive compensation (e.g., “say-on-pay” and “say-on-frequency”) and any golden parachute payments not previously approved. In addition, under the JOBS Act, “emerging growth companies” can delay adopting new or revised accounting standards until such time as those standards apply to private companies. While we have elected to avail ourselves of this exemption, we are permitted and may elect to early adopt certain new or revised accounting standards for which the respective standard allows for early adoption. For as long as we take advantage of the reduced reporting obligations, the information that we provide stockholders may be different from information provided by other similarly situated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an “emerging growth company” until the earliest of (i) the last day of the first fiscal year in which our annual gross revenue equals or exceeds $1.235 billion; (ii) the date that we become a “large accelerated filer” as defined in Rule 12b-2 under the Exchange Act, with the market value of shares of our common stock held by non-affiliates equal to at least $700 million as of the last business day of our most recently completed second fiscal quarter; (iii) the last day of our fiscal year following the fifth anniversary of the date of the Spin-Off; and (iv) the date on which we have issued more than $1 billion in non-convertible debt during the preceding three-year period. We cannot predict if investors will find shares of our common stock less attractive if we choose to rely on these exemptions. If some investors find shares of our common stock less attractive as a result of any choices to reduce future disclosure, there may be a less active trading market for shares of our common stock, our stock price may decline or become more volatile and it may be difficult for us to raise capital if and when we need 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 smaller reporting company and intend to elect to comply with reduced public company reporting requirements applicable to smaller reporting companies, which could make shares of our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will be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some investors find shares of our common stock less attractive as a result of any choices to reduce future disclosure we may make, there may be a less active trading market for shares of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we will continue to incur significant legal, accounting and other expenses, and these expenses may increase even more after we are no longer an “emerging growth company” or a “smaller reporting company.” We will continue to be subject to the reporting requirements of the Exchange Act, the Sarbanes-Oxley Act, the Dodd-Frank Wall Street Reform and Consumer Protection Act of 2010 as well as rules adopted, and to be adopted, by the SEC and the Exchange. Our management and other personnel devote a substantial amount of time to these compliance initiatives. In addition, changing laws, regulations, and standards relating to corporate governance and public disclosure are creating uncertainty for public companies, increasing legal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compliance costs, and making some activities more time consuming. We intend to invest resources to comply with evolving laws, regulations, and standards, and this investment may result in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(“Board”), our Board committees or as executive officers. After we are no longer an “emerging growth company,” and can no longer take advantage of the reporting exemptions available to “emerging growth companies” as discussed above,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as a result of becoming a public company or the timing and materiality of such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after a transition period, and provide a management report on our internal controls on an annual basis. If we have material weaknesses in our internal control over financial reporting, we may not detect errors on a timely basis and our financial statements may be materially misstated. We may require additional management and staff resources to comply, maintain and enhance the systems, processes and documentation necessary to comply with Section 404 of the Sarbanes-Oxley Act.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of the Sarbanes-Oxley Act,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Public company reporting and internal control obligations may strain resources and increase the risk of material weaknesses, restatements, and adverse market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continue to be subject to significant requirements for enhanced financial reporting and internal controls. Effective internal control over financial reporting is necessary for us to provide reliable financial reports and, together with adequate disclosure controls and procedures, is designed to prevent fraud.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Any failure to implement required new or improved controls, or difficulties encountered in their implementation, could cause us to fail to meet our reporting obligations on a timely basis, result in material misstatements in our financial statements and harm our results of operations. In addition, we will be required, pursuant to Section 404(a) of the Sarbanes-Oxley Act, to furnish a report by management on, among other things, the effectiveness of our internal control over financial reporting in the second annual report following the completion of the Spin-Off.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the Spin-Off. At such time, our internal control over financial reporting may be insufficiently documented, designed or operating, which may cause our independent registered public accounting firm to issue a report that is adverse. Undetected material weaknesses in our internal control over financial reporting could lead to financial statement restatements and require us to incur the expense of remediation, which could have a negative effect on the trading price of our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maintain an effective internal control environment, we could suffer material misstatements in our financial statements and fail to meet our reporting obligations, which would likely cause investors to lose confidence in our reported financial information. Additionally, ineffective internal control over financial reporting could expose us to increased risk of fraud or misuse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corporate assets and subject us to potential delisting from the Exchange, regulatory investigations, civil or criminal sanctions and litigation, any of which would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on shares of our common stock, so any returns will be limited to the value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anticipate that we will declare or pay any cash dividend on shares of our common stock. We currently anticipate that we will retain future earnings for the development, operation and expansion of our business and do not anticipate declaring or paying any cash dividends for the foreseeable future. Any return to stockholders would therefore be limited to the appreciation of their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cash and investments could be adversely affected if the financial institutions in which we hold our cash and investments fail.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bylaws and Delaware law might discourage, delay or prevent a change in control of our company or changes in our management and, therefore, depress the market price of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bylaws contain provisions that could depress the market price of shares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 classified Board so that not all members of our Board are elected at one time;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permit only the Board to establish the number of directors and fill vacancies on the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super-majority voting to amend some provisions in our amended and restated certificate of incorporation and bylaws;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the DGCL may discourage, delay or prevent a change in control of our company. Section 203 of the DGCL imposes certain restrictions on mergers, business combinations and other transactions between us and holders of 15% or more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to the fullest extent permitted by law,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Our bylaws provide that the federal district courts of the United States of America are, to the fullest extent permitted by law,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an offering of our securities.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shares of our common stock will be influenced by the research and reports that industry or securities analysts publish about us or our business. If any of the analysts who will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publish reports on us regularly, we could lose visibility in the financial markets, which in turn could cause our stock price or trading volume to decline.</w:t>
      </w:r>
    </w:p>
    <w:p>
      <w:pPr>
        <w:pStyle w:val="TextBody"/>
        <w:bidi w:val="0"/>
        <w:spacing w:before="24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2026, our registration statement on Form 10 (File No. 001-43177) (the “Form 10”) relating to the Spin-Off was declared effective by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Spin-Off on April 20, 2026, pursuant to that certain securities purchase agreement with certain third-party investors, we issued 5,791,479 shares of common stock at a public offering price of $13.81 per share (the “Private Placement”), resulting in net proceeds of approximately $80 million before deducting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the Private Placement as described in the Information Statement filed with the Form 10. None of the expenses associated with our Spin-Off or the Private Placement were paid, directly or indirectly, to any of our directors or officers, any persons owning 10% or more of any class of equity securities, or to any of our affiliates.</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adopted or terminated any contracts,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below.</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5873"/>
        <w:gridCol w:w="511"/>
        <w:gridCol w:w="741"/>
        <w:gridCol w:w="631"/>
        <w:gridCol w:w="751"/>
        <w:gridCol w:w="948"/>
      </w:tblGrid>
      <w:tr>
        <w:trPr/>
        <w:tc>
          <w:tcPr>
            <w:tcW w:w="750" w:type="dxa"/>
            <w:tcBorders/>
            <w:vAlign w:val="center"/>
          </w:tcPr>
          <w:p>
            <w:pPr>
              <w:pStyle w:val="TableContents"/>
              <w:bidi w:val="0"/>
              <w:spacing w:before="0" w:after="283"/>
              <w:jc w:val="left"/>
              <w:rPr>
                <w:sz w:val="4"/>
                <w:szCs w:val="4"/>
              </w:rPr>
            </w:pPr>
            <w:r>
              <w:rPr>
                <w:sz w:val="4"/>
                <w:szCs w:val="4"/>
              </w:rPr>
            </w:r>
          </w:p>
        </w:tc>
        <w:tc>
          <w:tcPr>
            <w:tcW w:w="587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8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2.1</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Separation and Distribution Agreement, dated as of April 20, 2026, by and between AnaptysBio, Inc. and First Tracks Biotherapeutics,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Transition Services Agreement, dated as of April 20, 2026, by and between AnaptysBio, Inc. and First Tracks Biotherapeutics,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8"/>
              </w:rPr>
              <w:t></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Registration Rights Agreement, dated as of April 20, 2026, by and among the Company and the Investors party thereto.</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Employment Agreement, effective April 20, 2026, by and between the Registrant and Daniel Faga.</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Employment Agreement, effective April 20, 2026, by and between the Registrant and Paul Lizzul.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Employment Agreement, effective April 20, 2026, by and between the Registrant and Ajim Tamboli.</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Employment Agreement, effective April 20, 2026, by and between the Registrant and Benjamin Stone.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License Agreement, dated November 24, 2023, by and between the Registrant and Centessa Pharmaceuticals (UK) Limited.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Amendment No. 1 to License Agreement, dated April 9, 2024, by and between the Registrant and Centessa Pharmaceuticals (UK) Limited.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18"/>
                <w:u w:val="single"/>
              </w:rPr>
            </w:pPr>
            <w:r>
              <w:rPr>
                <w:rFonts w:ascii="Times New Roman" w:hAnsi="Times New Roman"/>
                <w:color w:val="0000FF"/>
                <w:sz w:val="18"/>
                <w:u w:val="single"/>
              </w:rPr>
              <w:t>Wateridge Sublease Agreement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Indemnity Agreement.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Principal Executive Officer Pursuant to 18 U.S.C. Section 1350, as Adopted Pursuant to Section 906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Principal Financial Officer Pursuant to 18 U.S.C. Section 1350, as Adopted Pursuant to Section 906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Report Instance Document – the instance document does not appear in the Interactive Data File because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document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pStyle w:val="TextBody"/>
        <w:bidi w:val="0"/>
        <w:jc w:val="left"/>
        <w:rPr>
          <w:rFonts w:ascii="Times New Roman" w:hAnsi="Times New Roman"/>
          <w:color w:val="000000"/>
          <w:sz w:val="18"/>
        </w:rPr>
      </w:pPr>
      <w:r>
        <w:rPr>
          <w:rFonts w:ascii="Times New Roman" w:hAnsi="Times New Roman"/>
          <w:color w:val="000000"/>
          <w:sz w:val="18"/>
        </w:rPr>
        <w:t>* Executive compensation plan or agreement.</w:t>
      </w:r>
    </w:p>
    <w:p>
      <w:pPr>
        <w:pStyle w:val="TextBody"/>
        <w:bidi w:val="0"/>
        <w:jc w:val="left"/>
        <w:rPr>
          <w:rFonts w:ascii="Times New Roman" w:hAnsi="Times New Roman"/>
          <w:color w:val="000000"/>
          <w:sz w:val="18"/>
        </w:rPr>
      </w:pPr>
      <w:r>
        <w:rPr>
          <w:rFonts w:ascii="Times New Roman" w:hAnsi="Times New Roman"/>
          <w:color w:val="000000"/>
          <w:sz w:val="18"/>
        </w:rPr>
        <w:t>+ Certain portions of this exhibit have been redacted in accordance with Item 601(a)(6) of Regulation S-K.</w:t>
      </w:r>
    </w:p>
    <w:p>
      <w:pPr>
        <w:pStyle w:val="TextBody"/>
        <w:bidi w:val="0"/>
        <w:jc w:val="left"/>
        <w:rPr>
          <w:rFonts w:ascii="Times New Roman" w:hAnsi="Times New Roman"/>
          <w:color w:val="000000"/>
          <w:sz w:val="18"/>
        </w:rPr>
      </w:pPr>
      <w:r>
        <w:rPr>
          <w:rFonts w:ascii="Times New Roman" w:hAnsi="Times New Roman"/>
          <w:color w:val="000000"/>
          <w:sz w:val="18"/>
        </w:rPr>
        <w:t> The schedules and exhibits to this agreement have been omitted pursuant to Item 601(a)(5) of Regulation S-K. The Company agrees to furnish supplementally a copy of any omitted schedule or exhibit to the Commission upon its request.</w:t>
      </w:r>
    </w:p>
    <w:p>
      <w:pPr>
        <w:pStyle w:val="TextBody"/>
        <w:bidi w:val="0"/>
        <w:jc w:val="left"/>
        <w:rPr>
          <w:rFonts w:ascii="Times New Roman" w:hAnsi="Times New Roman"/>
          <w:sz w:val="20"/>
        </w:rPr>
      </w:pPr>
      <w:r>
        <w:rPr>
          <w:rFonts w:ascii="Times New Roman" w:hAnsi="Times New Roman"/>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Tracks Biotherapeutics,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Faga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Faga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Ajim Tamboli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Ajim Tamboli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43747</Words>
  <Characters>246645</Characters>
  <CharactersWithSpaces>290638</CharactersWithSpaces>
  <Paragraphs>5215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