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a-08072026_090846.xml.htm"/>
      <w:bookmarkStart w:id="1" w:name="ksform3a08072026_09084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Faga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First Tracks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04/20/2026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4"/>
        <w:gridCol w:w="1222"/>
        <w:gridCol w:w="1124"/>
        <w:gridCol w:w="1288"/>
        <w:gridCol w:w="926"/>
        <w:gridCol w:w="1255"/>
        <w:gridCol w:w="1214"/>
        <w:gridCol w:w="1342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1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Stock Unit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53,334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PSUs vest and settle over two years; 50% vests on March 12, 2027 and 50% vests on March 12, 2028, subject to the continuing service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Amendment, originally filed on April 20, 2026, is updated to reflect 53,334 performance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Ajim Tamboli,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73528" TargetMode="External"/><Relationship Id="rId3" Type="http://schemas.openxmlformats.org/officeDocument/2006/relationships/hyperlink" Target="http://www.sec.gov/cgi-bin/browse-edgar?action=getcompany&amp;CIK=00020913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456</Words>
  <Characters>2493</Characters>
  <CharactersWithSpaces>2896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