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FIRST TRACKS BIOTHERAPEUTICS,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001-43177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39-5003207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56"/>
        <w:spacing w:after="0"/>
        <w:rPr>
          <w:sz w:val="20"/>
          <w:szCs w:val="20"/>
          <w:color w:val="auto"/>
        </w:rPr>
      </w:pPr>
      <w:r>
        <w:rPr>
          <w:rFonts w:ascii="Times New Roman" w:cs="Times New Roman" w:eastAsia="Times New Roman" w:hAnsi="Times New Roman"/>
          <w:sz w:val="17"/>
          <w:szCs w:val="17"/>
          <w:b w:val="1"/>
          <w:bCs w:val="1"/>
          <w:color w:val="auto"/>
        </w:rPr>
        <w:t>10770 Wateridge Circle, Suite 210, San Diego, CA</w:t>
      </w:r>
    </w:p>
    <w:p>
      <w:pPr>
        <w:spacing w:after="0" w:line="43" w:lineRule="exact"/>
        <w:rPr>
          <w:sz w:val="24"/>
          <w:szCs w:val="24"/>
          <w:color w:val="auto"/>
        </w:rPr>
      </w:pPr>
    </w:p>
    <w:p>
      <w:pPr>
        <w:jc w:val="center"/>
        <w:ind w:right="1656"/>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92121</w:t>
      </w:r>
    </w:p>
    <w:p>
      <w:pPr>
        <w:spacing w:after="0" w:line="3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176" w:lineRule="exact"/>
        <w:rPr>
          <w:sz w:val="24"/>
          <w:szCs w:val="24"/>
          <w:color w:val="auto"/>
        </w:rPr>
      </w:pPr>
    </w:p>
    <w:p>
      <w:pPr>
        <w:sectPr>
          <w:pgSz w:w="11900" w:h="16838" w:orient="portrait"/>
          <w:cols w:equalWidth="0" w:num="2">
            <w:col w:w="7204" w:space="720"/>
            <w:col w:w="310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(858) 362-6295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TRAX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On April 20, 2026 (the “Distribution Date”), AnaptysBio, Inc. (“AnaptysBio”) completed the previously announced distribution of all of the shares of common stock of First Tracks Biotherapeutics, Inc. (“First Tracks Biotherapeutics,” the “Company,” “we,” “us,” or “our”) by AnaptysBio to holders of AnaptysBio common stock on a pro rata basis (the “Spin-Off”). Each holder of record of AnaptysBio common stock received one share of our common stock, par value $0.001 per share (the “Common Stock”) for every one share of AnaptysBio common stock held on April 6, 2026 (the “Record Date”).</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On the Distribution Date, the Company completed the previously announced private placement contemplated by that certain purchase agreement (the “Purchase Agreement”) by and among the Company, EcoR1 Capital Fund Qualified, L.P. (the “Selling Stockholder”) and certain third party investors (collectively, the “Investors”), pursuant to which the Company agreed to issue and sell an aggregate of 5,791,478 shares of Common Stock, and the Selling Stockholder agreed to sell an aggregate of 4,705,575 shares of Common Stock that the Selling Stockholder received in the Spin-Off, at a purchase price of $13.81 per share (the “Private Placement”).</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jc w:val="both"/>
        <w:ind w:right="620" w:firstLine="440"/>
        <w:spacing w:after="0" w:line="266" w:lineRule="auto"/>
        <w:rPr>
          <w:sz w:val="20"/>
          <w:szCs w:val="20"/>
          <w:color w:val="auto"/>
        </w:rPr>
      </w:pPr>
      <w:r>
        <w:rPr>
          <w:rFonts w:ascii="Times New Roman" w:cs="Times New Roman" w:eastAsia="Times New Roman" w:hAnsi="Times New Roman"/>
          <w:sz w:val="18"/>
          <w:szCs w:val="18"/>
          <w:color w:val="auto"/>
        </w:rPr>
        <w:t>Prior to the Distribution Date, in connection with the Spin-Off, the Company entered into a Separation and Distribution Agreement and a Transition Services Agreement (collectively, the “Spin Agreements”) with AnaptysBio that set forth the principal actions taken or to be taken in connection with the Spin-Off and that govern the relationship between us and AnaptysBio following the Spin-Off.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and Distribution Agreement</w:t>
      </w:r>
    </w:p>
    <w:p>
      <w:pPr>
        <w:spacing w:after="0" w:line="121"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We entered into a Separation and Distribution Agreement with AnaptysBio before the Spin-Off that sets forth our agreements with AnaptysBio regarding the principal actions to be taken in connection with the Spin-Off. It also sets forth other agreements that govern aspects of our relationship with AnaptysBio following the Spin-Off.</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Transfer of Assets and Assumption of Liabilities</w:t>
      </w:r>
    </w:p>
    <w:p>
      <w:pPr>
        <w:spacing w:after="0" w:line="11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Separation and Distribution Agreement identifies the assets to be transferred to (including the contracts to be assigned) or retained by, and the liabilities to be assumed or retained by, each of the Royalty Management Co. Business and First Tracks Biotherapeutics Business (each as defined below), and it provides for when and how these transfers, assumptions and assignments will occur. “Royalty Management Co. Business” refers to holding and managing the rights to dostarlimab, including the Jemperli royalties arising from agreements among AnaptysBio, Tesaro, Inc., Tesaro Development, Ltd. and GlaxoSmithKline LLC, and imsidolimab royalties from the licensing collaboration between AnaptysBio and Vanda Pharmaceuticals Inc. for the development and commercialization of imsidolimab (IL-36R antagonist mAb). “First Tracks Biotherapeutics Business” refers to AnaptysBio’s biotechnology business focused on development and potential commercialization of innovative therapeutics for autoimmune and inflammatory diseases, including clinical-stage programs for rosnilimab, ANB033 and ANB101. For the purpose of the Separation and Distribution Agreement, and subject to terms of and any exceptions set forth in the Separation and Distribution Agreement, the assets consist of all right, title and ownership interests in and to all assets, properties, claims, information generated for the business, intellectual property, contracts and rights (including goodwill), wherever located (including in the possession of vendors or other third parties or elsewhere on behalf of a person or entity), of every kind, character and description, whether real, personal or mixed, tangible or intangible, whether accrued or contingent, in each case whether or not received, recorded or reflected or required to be recorded or reflected on the books and records or financial statements of any person or entity, including rights and benefits pursuant to any contract, license, permit, indenture, note, bond, mortgage, agreement, concession, franchise, instrument, undertaking, commitment, understanding or other arrangement. Liabilities consist of any and all debts, guarantees, assurances, commitments, losses, remediation, deficiencies, penalties, settlements, sanctions, costs, expenses, interest and obligations, whether accrued or fixed, absolute or contingent, matured or unmatured, known or unknown, reserved or unreserved, or determined or determinable, including those arising under any law (including environmental laws), proceeding, whether asserted or unasserted, or order, writ, judgment, injunction, decree, stipulation, determination or award entered by or with any governmental authority and those arising under any contract, agreement, obligation, indenture, instrument, lease, promise, arrangement, release, warranty, commitment or undertaking or any fines, damages or equitable relief which may be imposed and including all costs and expenses related thereto.</w:t>
      </w:r>
    </w:p>
    <w:p>
      <w:pPr>
        <w:sectPr>
          <w:pgSz w:w="11900" w:h="16838" w:orient="portrait"/>
          <w:cols w:equalWidth="0" w:num="1">
            <w:col w:w="10980"/>
          </w:cols>
          <w:pgMar w:left="440" w:top="293" w:right="479" w:bottom="1440" w:gutter="0" w:footer="0" w:header="0"/>
        </w:sectPr>
      </w:pPr>
    </w:p>
    <w:bookmarkStart w:id="2" w:name="page3"/>
    <w:bookmarkEnd w:id="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Generally, following the Spin-Off, AnaptysBio will own those assets primarily related to the Royalty Management Co. Business, and will retain or assume those liabilities arising out of or resulting from the ownership or operation of (i) any business conducted by AnaptysBio on or prior to the time of the Spin-Off and (ii) the Royalty Management Co. Business at any time after the time of the Spin-Off. First Tracks Biotherapeutics will own or retain those assets primarily related to the First Tracks Biotherapeutics Business, and will retain or assume those liabilities arising out of the ownership or operation of such business to the extent attributable to periods after the time of the Spin-Off.</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 particular, the Separation and Distribution Agreement provides that subject to the terms and conditions contained therein, the following assets will generally be allocated to First Tracks Biotherapeutics, subject to certain exceptions:</w:t>
      </w:r>
    </w:p>
    <w:p>
      <w:pPr>
        <w:spacing w:after="0" w:line="67"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Tracks Biotherapeutics name and marks and any goodwill and common law rights thereto;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and cash equivalents equal to $100.0 million;</w:t>
      </w:r>
    </w:p>
    <w:p>
      <w:pPr>
        <w:spacing w:after="0" w:line="130"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primarily related to the First Tracks Biotherapeutics Business, including certain specified registered intellectual property;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software and IT systems;</w:t>
      </w:r>
    </w:p>
    <w:p>
      <w:pPr>
        <w:spacing w:after="0" w:line="130" w:lineRule="exact"/>
        <w:rPr>
          <w:rFonts w:ascii="Times New Roman" w:cs="Times New Roman" w:eastAsia="Times New Roman" w:hAnsi="Times New Roman"/>
          <w:sz w:val="18"/>
          <w:szCs w:val="18"/>
          <w:color w:val="auto"/>
        </w:rPr>
      </w:pPr>
    </w:p>
    <w:p>
      <w:pPr>
        <w:ind w:left="960" w:right="20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computers and other electronic data processing and communications equipment, fixtures, machinery, equipment (including, without limitation, all laboratory equipment and related materials), furniture, office equipment, special and general tools, test devices, prototypes and models and other tangible personal property;</w:t>
      </w:r>
    </w:p>
    <w:p>
      <w:pPr>
        <w:spacing w:after="0" w:line="81" w:lineRule="exact"/>
        <w:rPr>
          <w:rFonts w:ascii="Times New Roman" w:cs="Times New Roman" w:eastAsia="Times New Roman" w:hAnsi="Times New Roman"/>
          <w:sz w:val="18"/>
          <w:szCs w:val="18"/>
          <w:color w:val="auto"/>
        </w:rPr>
      </w:pPr>
    </w:p>
    <w:p>
      <w:pPr>
        <w:ind w:left="960" w:right="8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permits, registrations, approvals and authorizations used, held for the use of or otherwise primarily related to the First Tracks Biotherapeutics Business, including all permits issued by the FDA and comparable governmental authorities primarily relating to the First Tracks Biotherapeutics Business (not including any licenses, permits, registrations, approvals and authorizations which have been issued by any governmental authority that primarily relate to, or are used exclusively in, the Royalty Management Co. Business);</w:t>
      </w:r>
    </w:p>
    <w:p>
      <w:pPr>
        <w:spacing w:after="0" w:line="85" w:lineRule="exact"/>
        <w:rPr>
          <w:rFonts w:ascii="Times New Roman" w:cs="Times New Roman" w:eastAsia="Times New Roman" w:hAnsi="Times New Roman"/>
          <w:sz w:val="18"/>
          <w:szCs w:val="18"/>
          <w:color w:val="auto"/>
        </w:rPr>
      </w:pPr>
    </w:p>
    <w:p>
      <w:pPr>
        <w:ind w:left="960" w:right="6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rights to receive milestone payments under the Vanda Collaboration, which may amount up to $35.0 million for future regulatory approval milestones and sales milestones;</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deposits, letters of credit, prepaid expenses, trade accounts and other accounts primarily related to or arising out of the First Tracks Biotherapeutics Business;</w:t>
      </w:r>
    </w:p>
    <w:p>
      <w:pPr>
        <w:spacing w:after="0" w:line="67" w:lineRule="exact"/>
        <w:rPr>
          <w:rFonts w:ascii="Times New Roman" w:cs="Times New Roman" w:eastAsia="Times New Roman" w:hAnsi="Times New Roman"/>
          <w:sz w:val="18"/>
          <w:szCs w:val="18"/>
          <w:color w:val="auto"/>
        </w:rPr>
      </w:pPr>
    </w:p>
    <w:p>
      <w:pPr>
        <w:ind w:left="960" w:right="6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inventories of products, goods, materials, parts, raw materials and supplies primarily related to the First Tracks Biotherapeutics Business;</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employment contracts, offer letters, restrictive covenant agreements and compensation and benefit plans applicable to the employees to be transferred to First Tracks Biotherapeutics;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in connection with and assets funding any obligation under each such benefit plan;</w:t>
      </w:r>
    </w:p>
    <w:p>
      <w:pPr>
        <w:spacing w:after="0" w:line="130" w:lineRule="exact"/>
        <w:rPr>
          <w:rFonts w:ascii="Times New Roman" w:cs="Times New Roman" w:eastAsia="Times New Roman" w:hAnsi="Times New Roman"/>
          <w:sz w:val="18"/>
          <w:szCs w:val="18"/>
          <w:color w:val="auto"/>
        </w:rPr>
      </w:pPr>
    </w:p>
    <w:p>
      <w:pPr>
        <w:jc w:val="both"/>
        <w:ind w:left="960" w:right="30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 information, supplier records, supplier lists, vendor data, correspondence and lists, product data and literature, artwork, design, development and business process files and data, vendor drawings, specifications, quality records and reports and other books, records, studies, surveys, reports, plans and documents, including any and all other confidential or proprietary information, that, in each case, is primarily related to the First Tracks Biotherapeutics Business;</w:t>
      </w:r>
    </w:p>
    <w:p>
      <w:pPr>
        <w:sectPr>
          <w:pgSz w:w="11900" w:h="16838" w:orient="portrait"/>
          <w:cols w:equalWidth="0" w:num="1">
            <w:col w:w="11000"/>
          </w:cols>
          <w:pgMar w:left="440" w:top="297" w:right="459" w:bottom="1440" w:gutter="0" w:footer="0" w:header="0"/>
        </w:sectPr>
      </w:pPr>
    </w:p>
    <w:bookmarkStart w:id="3" w:name="page4"/>
    <w:bookmarkEnd w:id="3"/>
    <w:p>
      <w:pPr>
        <w:ind w:left="960" w:right="20" w:hanging="424"/>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all shared contracts to which First Tracks Biotherapeutics is a party and relating to both the First Tracks Biotherapeutics Business and the Royalty Management Co. Business and any other contracts primarily related to the First Tracks Biotherapeutics Business, and any rights or claims (whether accrued or contingent) arising under such contracts (not including contracts designated as primarily related to the Royalty Management Co. Business, any other contracts primarily related to the Royalty Management Co. Business and certain specified shared contracts);</w:t>
      </w:r>
    </w:p>
    <w:p>
      <w:pPr>
        <w:spacing w:after="0" w:line="88"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under insurance policies and all rights in the nature of insurance, indemnification or contribution primarily related to, or related to claims primarily arising out of, the First Tracks Biotherapeutics Business;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related to the First Tracks Biotherapeutics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property leases, through the early termination of such leases or, at First Tracks Biotherapeutics’ option, December 31, 2027; and</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assets that are owned, leased or licensed, at or prior to the time of the Spin-Off, by AnaptysBio that are primarily related to the First Tracks Biotherapeutics Business.</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All assets other than those allocated to First Tracks Biotherapeutics will generally be allocated to AnaptysBio. The Separation and Distribution Agreement also identifies specific assets that will be allocated to AnaptysBio, including, subject to certain exceptions:</w:t>
      </w:r>
    </w:p>
    <w:p>
      <w:pPr>
        <w:spacing w:after="0" w:line="67" w:lineRule="exact"/>
        <w:rPr>
          <w:sz w:val="20"/>
          <w:szCs w:val="20"/>
          <w:color w:val="auto"/>
        </w:rPr>
      </w:pPr>
    </w:p>
    <w:p>
      <w:pPr>
        <w:ind w:left="960" w:right="5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primarily related to the Royalty Management Co. Business, including certain specified registered intellectual property;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“AnaptysBio” name and marks and any goodwill and common law rights thereto;</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permits, registrations, approvals and authorizations which have been issued by any governmental authority primarily related to the Royalty Management Co. Business;</w:t>
      </w:r>
    </w:p>
    <w:p>
      <w:pPr>
        <w:spacing w:after="0" w:line="67"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deposits, letters of credit, prepaid expenses, trade accounts and other accounts primarily related to the Royalty Management Co. Business;</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inventories of clinical products, goods, materials, parts, raw materials and clinical supplies primarily related to the Royalty Management Co. Business;</w:t>
      </w:r>
    </w:p>
    <w:p>
      <w:pPr>
        <w:spacing w:after="0" w:line="67" w:lineRule="exact"/>
        <w:rPr>
          <w:rFonts w:ascii="Times New Roman" w:cs="Times New Roman" w:eastAsia="Times New Roman" w:hAnsi="Times New Roman"/>
          <w:sz w:val="18"/>
          <w:szCs w:val="18"/>
          <w:color w:val="auto"/>
        </w:rPr>
      </w:pPr>
    </w:p>
    <w:p>
      <w:pPr>
        <w:ind w:left="960" w:right="20" w:hanging="424"/>
        <w:spacing w:after="0" w:line="281"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cost information, sales and pricing data, customer prospect lists, supplier records, customer and supplier lists, customer and vendor data, correspondence and lists, product data and literature, artwork, design, development and business process files and data, vendor and customer drawings, specifications, quality records and reports and other books, records, studies, surveys, reports, plans and documents, and any other confidential or proprietary information, in each case, to the extent primarily related to the Royalty Management Co. Business;</w:t>
      </w:r>
    </w:p>
    <w:p>
      <w:pPr>
        <w:spacing w:after="0" w:line="69" w:lineRule="exact"/>
        <w:rPr>
          <w:rFonts w:ascii="Times New Roman" w:cs="Times New Roman" w:eastAsia="Times New Roman" w:hAnsi="Times New Roman"/>
          <w:sz w:val="17"/>
          <w:szCs w:val="17"/>
          <w:color w:val="auto"/>
        </w:rPr>
      </w:pPr>
    </w:p>
    <w:p>
      <w:pPr>
        <w:ind w:left="960" w:right="20" w:hanging="424"/>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contracts designated as primarily related to the Royalty Management Co. Business, any other contracts primarily related to the Royalty Management Co. Business and certain specified shared contracts, and all rights and obligations and other liabilities (whether accrued or contingent) arising under any such contracts (excluding any contracts relating to hardware, servers, databases, software, networks, telecommunications systems, websites, computer equipment, interfaces, platforms, systems, other information technology and related infrastructure), including the GSK Collaboration and the Vanda Collaboration;</w:t>
      </w:r>
    </w:p>
    <w:p>
      <w:pPr>
        <w:sectPr>
          <w:pgSz w:w="11900" w:h="16838" w:orient="portrait"/>
          <w:cols w:equalWidth="0" w:num="1">
            <w:col w:w="11020"/>
          </w:cols>
          <w:pgMar w:left="440" w:top="297" w:right="439" w:bottom="1440" w:gutter="0" w:footer="0" w:header="0"/>
        </w:sectPr>
      </w:pPr>
    </w:p>
    <w:bookmarkStart w:id="4" w:name="page5"/>
    <w:bookmarkEnd w:id="4"/>
    <w:p>
      <w:pPr>
        <w:ind w:left="960" w:right="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all rights under insurance policies and all rights in the nature of insurance, indemnification or contribution primarily related to the Royalty Management Co. Business, including certain specified insurance policies;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related to the Royalty Management Co. Business; and</w:t>
      </w:r>
    </w:p>
    <w:p>
      <w:pPr>
        <w:spacing w:after="0" w:line="130" w:lineRule="exact"/>
        <w:rPr>
          <w:rFonts w:ascii="Times New Roman" w:cs="Times New Roman" w:eastAsia="Times New Roman" w:hAnsi="Times New Roman"/>
          <w:sz w:val="18"/>
          <w:szCs w:val="18"/>
          <w:color w:val="auto"/>
        </w:rPr>
      </w:pPr>
    </w:p>
    <w:p>
      <w:pPr>
        <w:ind w:left="960" w:right="30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assets (other than registered intellectual property) that are owned, leased or licensed at or prior to the time of the Spin-Off, or were owned, leased or licensed, at the time of the Spin-Off, by AnaptysBio (including AnaptysBio) that are primarily related to the Royalty Management Co. Business.</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Separation and Distribution Agreement provides that First Tracks Biotherapeutics will, subject to certain exceptions, generally retain or assume the liabilities arising out of or resulting from:</w:t>
      </w:r>
    </w:p>
    <w:p>
      <w:pPr>
        <w:spacing w:after="0" w:line="67"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allocated to First Tracks Biotherapeutics to the extent attributable to periods after the time of the Spin-Off;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or operation of any business conducted by First Tracks Biotherapeutics at any time after the time of the Spin-Off;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benefit plans to be assumed by First Tracks Biotherapeutics;</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or engagement of certain employees to be transferred to First Tracks Biotherapeutics to the extent attributable to periods after the time of the Spin-Off;</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employee-related matters allocated to First Tracks Biotherapeutics under the Separation and Distribution Agreement; and</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agreements or obligations of First Tracks Biotherapeutics under the Separation and Distribution Agreement or the Transition Services Agreement.</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All liabilities other than those allocated to First Tracks Biotherapeutics will generally be retained or assumed by AnaptysBio. These include, among others, liabilities arising out of or resulting from:</w:t>
      </w:r>
    </w:p>
    <w:p>
      <w:pPr>
        <w:spacing w:after="0" w:line="67"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allocated to AnaptysBio;</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or operation of any business conducted by AnaptysBio (including any discontinued business or any business which has been sold or transferred) at any time at or prior to the time of the Spin-Off;</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or operation of any business conducted by AnaptysBio (including the Royalty Management Co. Business) at any time on or after the time of the Spin-Off;</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allocated to AnaptysBio pursuant to the Separation and Distribution Agreement;</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employee-related matters allocated to AnaptysBio under the Separation and Distribution Agreement (including the portion of any annual bonuses attributable to the period prior to the Distribution Date);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early termination fees under the real property leases; and</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agreements or obligations of AnaptysBio following the distribution under the Separation and Distribution Agreement or the Transition Services Agreement.</w:t>
      </w:r>
    </w:p>
    <w:p>
      <w:pPr>
        <w:sectPr>
          <w:pgSz w:w="11900" w:h="16838" w:orient="portrait"/>
          <w:cols w:equalWidth="0" w:num="1">
            <w:col w:w="10980"/>
          </w:cols>
          <w:pgMar w:left="440" w:top="297" w:right="47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Consents and Delayed Transfers</w:t>
      </w:r>
    </w:p>
    <w:p>
      <w:pPr>
        <w:spacing w:after="0" w:line="11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The Separation and Distribution Agreement provides that AnaptysBio and First Tracks Biotherapeutics will use commercially reasonable efforts to obtain any consents, licenses, permits, or waivers with respect to, among other things, contracts required in connection with the distribution or, at the written request of the other party, the assignment or novation of certain obligations under contracts, licenses and other liabilities of the parties. The Separation and Distribution Agreement also requires AnaptysBio and First Tracks Biotherapeutics to cooperate with each other from and after the time of the Spin-Off to, among other things, execute and deliver, or use reasonable best efforts to cause to be executed and delivered, all instruments, and to make all filings, provide any notice and obtain all consents and/or approvals under any licenses, permits, waivers, orders or authorizations in order to effectuate the transfer of the applicable assets and assignment and assumption of the applicable liabilities pursuant to the Separation and Distribution Agreement.</w:t>
      </w:r>
    </w:p>
    <w:p>
      <w:pPr>
        <w:spacing w:after="0" w:line="192"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From and after the distribution, with respect to any asset whose transfer or assignment is delayed, the party retaining such delayed asset will hold for the use and benefit of the party entitled thereto (at the expense of the entity entitled thereto) and use commercially reasonable efforts to cooperate with the intended recipient to agree to any reasonable and lawful arrangements designed to provide the applicable party with the economic claims, rights, benefits and control over such delayed asset and assume the economic burdens and obligations with respect thereto in accordance with the Separation and Distribution Agreement, including by subcontracting, sublicensing or subleasing arrangements to the extent legally permissible. From and after the distribution, with respect to any liability whose assumption is delayed, the party intended to assume such delayed liability will pay or reimburse the party retaining such delayed liability for all amounts paid or incurred by such party in connection with the retention of such delayed liability. The party retaining any delayed asset or delayed liability will treat such delayed asset or delayed liability in the ordinary course of business in accordance with past practice.</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Commingled Contracts</w:t>
      </w:r>
    </w:p>
    <w:p>
      <w:pPr>
        <w:spacing w:after="0" w:line="11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Separation and Distribution Agreement provides that any contract to which First Tracks Biotherapeutics or AnaptysBio is a party that relates to both the First Tracks Biotherapeutics Business and the Royalty Management Co. Business will, subject to certain exceptions, be treated as commingled contracts. From the date of the Separation and Distribution Agreement until the date that is 24 months after the distribution, to the extent the rights and obligations under any commingled contract have not or are not contemplated to be provided to either First Tracks Biotherapeutics or AnaptysBio following the distribution pursuant to the Transition Services Agreement or sublicensed, replacement contracts, contract rights, bids, purchase orders or other agreements with respect to the First Tracks Biotherapeutics Business or Royalty Management Co. Business have not been obtained or are not contemplated to be obtained pursuant to the Separation and Distribution Agreement, and as requested by either First Tracks Biotherapeutics or AnaptysBio in writing, each party will use commercially reasonable efforts to assist the other party to establish replacement contracts, contract rights, bids, purchase orders, or other agreements with respect to either the First Tracks Biotherapeutics Business or Royalty Management Co. Business, to assign to the other party or any of its subsidiaries following the distribution the rights and obligations under such commingled contract to the extent primarily related to either the First Tracks Biotherapeutics Business or Royalty Management Co. Business, as applicable, or to establish reasonable and lawful arrangements designed to provide either First Tracks Biotherapeutics and its subsidiaries or AnaptysBio and its subsidiaries following the distribution with the rights and obligations under such commingled contract to the extent related to either the Royalty Management Co. Business or the First Tracks Biotherapeutics Business. After the distribution, if AnaptysBio holds any First Tracks Biotherapeutics assets or registered intellectual property not primarily related to the Royalty Management Co. Business, AnaptysBio must inform First Tracks Biotherapeutics and use reasonable best efforts to transfer them to First Tracks Biotherapeutics without extra cost. Similarly, if First Tracks Biotherapeutics holds assets or registered intellectual property primarily related to the Royalty Management Co. Business (notwithstanding certain trademarks), First Tracks Biotherapeutics must inform AnaptysBio and use reasonable best efforts to transfer them to AnaptysBio at no additional cost.</w:t>
      </w:r>
    </w:p>
    <w:p>
      <w:pPr>
        <w:sectPr>
          <w:pgSz w:w="11900" w:h="16838" w:orient="portrait"/>
          <w:cols w:equalWidth="0" w:num="1">
            <w:col w:w="10980"/>
          </w:cols>
          <w:pgMar w:left="440" w:top="295" w:right="47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Access to Information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Separation and Distribution Agreement provides for the following access to information:</w:t>
      </w:r>
    </w:p>
    <w:p>
      <w:pPr>
        <w:spacing w:after="0" w:line="131" w:lineRule="exact"/>
        <w:rPr>
          <w:sz w:val="20"/>
          <w:szCs w:val="20"/>
          <w:color w:val="auto"/>
        </w:rPr>
      </w:pPr>
    </w:p>
    <w:p>
      <w:pPr>
        <w:ind w:left="960" w:right="40" w:hanging="424"/>
        <w:spacing w:after="0" w:line="25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Date, each of AnaptysBio and First Tracks Biotherapeutics agrees to provide to the other party, as soon as reasonably practicable after written request therefor, specific and identified agreements, documents, books, records or files (whether written or electronic) in the possession or under the control of such respective party or any of its subsidiaries which primarily relate to the requesting party or to the First Tracks Biotherapeutics Business, in the case of a request by First Tracks Biotherapeutics, or the Royalty Management Co. Business, in the case of a request by AnaptysBio, or which are necessary or advisable for the requesting party to prepare its financial statements and any reports or filings to be made with any governmental authority;</w:t>
      </w:r>
    </w:p>
    <w:p>
      <w:pPr>
        <w:spacing w:after="0" w:line="92" w:lineRule="exact"/>
        <w:rPr>
          <w:rFonts w:ascii="Times New Roman" w:cs="Times New Roman" w:eastAsia="Times New Roman" w:hAnsi="Times New Roman"/>
          <w:sz w:val="18"/>
          <w:szCs w:val="18"/>
          <w:color w:val="auto"/>
        </w:rPr>
      </w:pPr>
    </w:p>
    <w:p>
      <w:pPr>
        <w:ind w:left="960" w:right="60" w:hanging="424"/>
        <w:spacing w:after="0" w:line="25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AnaptysBio and First Tracks Biotherapeutics will each use commercially reasonable efforts to make available, upon reasonable written request, its and its subsidiaries’ representatives as witnesses and any agreements, documents, books, records or files (whether written or electronic) within their control or which they may make available without undue burden, as reasonably required by the requesting party in connection with the prosecution or defense of any proceeding, with the requesting party to bear all reasonable out-of-pocket costs and expenses in connection therewith; and</w:t>
      </w:r>
    </w:p>
    <w:p>
      <w:pPr>
        <w:spacing w:after="0" w:line="88" w:lineRule="exact"/>
        <w:rPr>
          <w:rFonts w:ascii="Times New Roman" w:cs="Times New Roman" w:eastAsia="Times New Roman" w:hAnsi="Times New Roman"/>
          <w:sz w:val="18"/>
          <w:szCs w:val="18"/>
          <w:color w:val="auto"/>
        </w:rPr>
      </w:pPr>
    </w:p>
    <w:p>
      <w:pPr>
        <w:ind w:left="960" w:hanging="424"/>
        <w:spacing w:after="0" w:line="253"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five years after the Distribution Date, upon reasonable prior notice, each of AnaptysBio and First Tracks Biotherapeutics will make available to the other applicable party’s officers and other authorized representatives reasonable access, during normal business hours, to its employees and properties that relate to the other party’s business and will furnish promptly all information concerning such other party’s business and such other party’s properties and personnel related thereto, as may reasonably be requested, provided that neither party will be required to (i) permit any inspection or disclosure of any information that, in the reasonable judgment of such party, would be detrimental to such party’s or its subsidiaries’ business or operations, result in the disclosure of trade secrets or know-how of third parties or violate confidentiality obligations, be reasonably likely to result in a violation of any law, fiduciary duty or binding agreement entered into prior to the date of the Separation and Distribution Agreement or involve information that is reasonably pertinent to a litigation or proceeding between First Tracks Biotherapeutics and its affiliates, on the one hand, and AnaptysBio and its affiliates, on the other hand, after the distribution, (ii) disclose any privileged information or (iii) submit to any invasive environmental testing or sampling.</w:t>
      </w:r>
    </w:p>
    <w:p>
      <w:pPr>
        <w:spacing w:after="0" w:line="3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Releases</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Separation and Distribution Agreement provides that, subject to certain exceptions specified in the Separation and Distribution Agreement, each party, on behalf of itself and each member of its group, and to the extent permitted by law, all persons who any time prior to the distribution were stockholders, directors, officers, agents or employees of any member of its respective group (in their respective capacities as such), effective at the time of and conditioned upon the occurrence of the distribution, will remise, release and forever discharge the other party and the other members of the other party’s group and their respective successors, stockholders, directors, officers, agents or employees from any and all liabilities to the extent existing or arising from any acts or events occurring or failing to occur or alleged to have occurred or have failed to occur, and any conditions existing or alleged to have existed, on or before the distribution, including in connection with the Spin-Off, the distribution or any of the other transactions contemplated under the Separation and Distribution Agreement or the Transition Services Agreement.</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the Separation and Distribution Agreement, AnaptysBio agrees to indemnify, defend and hold harmless First Tracks Biotherapeutics, each of its affiliates after giving effect to the distribution, and each of their respective directors, officers, employees and agents, from and against all losses to the extent arising out of, by reason of or otherwise in connection with:</w:t>
      </w:r>
    </w:p>
    <w:p>
      <w:pPr>
        <w:spacing w:after="0" w:line="81" w:lineRule="exact"/>
        <w:rPr>
          <w:sz w:val="20"/>
          <w:szCs w:val="20"/>
          <w:color w:val="auto"/>
        </w:rPr>
      </w:pPr>
    </w:p>
    <w:p>
      <w:pPr>
        <w:ind w:left="960" w:right="30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described under “Transfer of Assets and Assumption of Liabilities” as allocated to AnaptysBio following the distribution pursuant to the Separation and Distribution Agreement;</w:t>
      </w:r>
    </w:p>
    <w:p>
      <w:pPr>
        <w:sectPr>
          <w:pgSz w:w="11900" w:h="16838" w:orient="portrait"/>
          <w:cols w:equalWidth="0" w:num="1">
            <w:col w:w="11000"/>
          </w:cols>
          <w:pgMar w:left="440" w:top="295" w:right="459" w:bottom="1440" w:gutter="0" w:footer="0" w:header="0"/>
        </w:sectPr>
      </w:pPr>
    </w:p>
    <w:bookmarkStart w:id="7" w:name="page8"/>
    <w:bookmarkEnd w:id="7"/>
    <w:p>
      <w:pPr>
        <w:ind w:left="960" w:right="48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failure of AnaptysBio, any of its subsidiaries following the distribution or any other person or entity to pay, perform or otherwise promptly discharge such liabilities, whether prior to, at or after the time of the Spin-Off;</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AnaptysBio or any of its subsidiaries of the Separation and Distribution Agreement or the Transition Services Agreement;</w:t>
      </w:r>
    </w:p>
    <w:p>
      <w:pPr>
        <w:spacing w:after="0" w:line="130" w:lineRule="exact"/>
        <w:rPr>
          <w:rFonts w:ascii="Times New Roman" w:cs="Times New Roman" w:eastAsia="Times New Roman" w:hAnsi="Times New Roman"/>
          <w:sz w:val="18"/>
          <w:szCs w:val="18"/>
          <w:color w:val="auto"/>
        </w:rPr>
      </w:pPr>
    </w:p>
    <w:p>
      <w:pPr>
        <w:ind w:left="960" w:right="40" w:hanging="424"/>
        <w:spacing w:after="0" w:line="258"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related to liabilities described under “Transfer of Assets and Assumption of Liabilities” as allocated to First Tracks Biotherapeutics following the distribution pursuant to the Separation and Distribution Agreement, any guarantee, indemnification obligation, surety bond or other credit support agreement, arrangement, commitment or understanding to the extent discharged or performed by AnaptysBio or any subsidiary of AnaptysBio following the distribution for the benefit of First Tracks Biotherapeutics or any subsidiary of First Tracks Biotherapeutics following the distribution that survives the time of the Spin-Off;</w:t>
      </w:r>
    </w:p>
    <w:p>
      <w:pPr>
        <w:spacing w:after="0" w:line="88" w:lineRule="exact"/>
        <w:rPr>
          <w:rFonts w:ascii="Times New Roman" w:cs="Times New Roman" w:eastAsia="Times New Roman" w:hAnsi="Times New Roman"/>
          <w:sz w:val="18"/>
          <w:szCs w:val="18"/>
          <w:color w:val="auto"/>
        </w:rPr>
      </w:pPr>
    </w:p>
    <w:p>
      <w:pPr>
        <w:ind w:left="960" w:right="120" w:hanging="424"/>
        <w:spacing w:after="0" w:line="258"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supplied by AnaptysBio in writing expressly for inclusion in the registration statement in connection with the distribution and the related information statement (including any amendments or supplements) or any other filings with the U.S. Securities and Exchange Commission (the “SEC”) made in connection with the transactions contemplated by the Separation and Distribution Agreement;</w:t>
      </w:r>
    </w:p>
    <w:p>
      <w:pPr>
        <w:spacing w:after="0" w:line="8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liabilities that AnaptysBio is liable for pursuant to the Separation and Distribution Agreement; and</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relating to, arising out of or resulting from claims by any holders of shares of AnaptysBio common stock, in their capacity as such, in connection with the distribution.</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First Tracks Biotherapeutics agrees to indemnify, defend and hold harmless AnaptysBio, each of its affiliates after giving effect to the distribution and each of their respective directors, officers, employees and agents from and against all losses to the extent arising out of, by reason of or otherwise in connection with:</w:t>
      </w:r>
    </w:p>
    <w:p>
      <w:pPr>
        <w:spacing w:after="0" w:line="81" w:lineRule="exact"/>
        <w:rPr>
          <w:sz w:val="20"/>
          <w:szCs w:val="20"/>
          <w:color w:val="auto"/>
        </w:rPr>
      </w:pPr>
    </w:p>
    <w:p>
      <w:pPr>
        <w:ind w:left="96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described under “Transfer of Assets and Assumption of Liabilities” as allocated to First Tracks Biotherapeutics following the distribution pursuant to the Separation and Distribution Agreement;</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First Tracks Biotherapeutics, any of its subsidiaries following the distribution or any other person or entity to pay, perform or otherwise promptly discharge such liabilities, whether prior to, at or after the time of the Spin-Off;</w:t>
      </w:r>
    </w:p>
    <w:p>
      <w:pPr>
        <w:spacing w:after="0" w:line="67" w:lineRule="exact"/>
        <w:rPr>
          <w:rFonts w:ascii="Times New Roman" w:cs="Times New Roman" w:eastAsia="Times New Roman" w:hAnsi="Times New Roman"/>
          <w:sz w:val="18"/>
          <w:szCs w:val="18"/>
          <w:color w:val="auto"/>
        </w:rPr>
      </w:pPr>
    </w:p>
    <w:p>
      <w:pPr>
        <w:ind w:left="960" w:right="56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First Tracks Biotherapeutics or any of its subsidiaries of the Separation and Distribution Agreement or the Transition Services Agreement;</w:t>
      </w:r>
    </w:p>
    <w:p>
      <w:pPr>
        <w:spacing w:after="0" w:line="67" w:lineRule="exact"/>
        <w:rPr>
          <w:rFonts w:ascii="Times New Roman" w:cs="Times New Roman" w:eastAsia="Times New Roman" w:hAnsi="Times New Roman"/>
          <w:sz w:val="18"/>
          <w:szCs w:val="18"/>
          <w:color w:val="auto"/>
        </w:rPr>
      </w:pPr>
    </w:p>
    <w:p>
      <w:pPr>
        <w:ind w:left="960" w:right="20" w:hanging="424"/>
        <w:spacing w:after="0" w:line="258"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related to liabilities described under “Transfer of Assets and Assumption of Liabilities” as allocated to AnaptysBio following the distribution pursuant to the Separation and Distribution Agreement, any guarantee, indemnification obligation, surety bond or other credit support agreement, arrangement, commitment or understanding to the extent discharged or performed by First Tracks Biotherapeutics or any subsidiary of First Tracks Biotherapeutics following the distribution for the benefit of AnaptysBio or any subsidiary of AnaptysBio following the distribution that survives the time of the Spin-Off;</w:t>
      </w:r>
    </w:p>
    <w:p>
      <w:pPr>
        <w:spacing w:after="0" w:line="88" w:lineRule="exact"/>
        <w:rPr>
          <w:rFonts w:ascii="Times New Roman" w:cs="Times New Roman" w:eastAsia="Times New Roman" w:hAnsi="Times New Roman"/>
          <w:sz w:val="18"/>
          <w:szCs w:val="18"/>
          <w:color w:val="auto"/>
        </w:rPr>
      </w:pPr>
    </w:p>
    <w:p>
      <w:pPr>
        <w:ind w:left="960" w:right="240" w:hanging="424"/>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or omission or alleged omission to state a material fact required to be stated therein or necessary to make the statements therein not misleading, with respect to all information contained in the registration statement in connection with</w:t>
      </w:r>
    </w:p>
    <w:p>
      <w:pPr>
        <w:sectPr>
          <w:pgSz w:w="11900" w:h="16838" w:orient="portrait"/>
          <w:cols w:equalWidth="0" w:num="1">
            <w:col w:w="11000"/>
          </w:cols>
          <w:pgMar w:left="440" w:top="297" w:right="459" w:bottom="1440" w:gutter="0" w:footer="0" w:header="0"/>
        </w:sectPr>
      </w:pPr>
    </w:p>
    <w:bookmarkStart w:id="8" w:name="page9"/>
    <w:bookmarkEnd w:id="8"/>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distribution and the related information statement (including any amendments or supplements) or any other filings with the SEC made in connection with the transactions contemplated by the Separation and Distribution Agreement, excluding any such liabilities to the extent relating to information supplied by AnaptysBio in writing expressly for inclusion in such filings;</w:t>
      </w:r>
    </w:p>
    <w:p>
      <w:pPr>
        <w:spacing w:after="0" w:line="81" w:lineRule="exact"/>
        <w:rPr>
          <w:sz w:val="20"/>
          <w:szCs w:val="20"/>
          <w:color w:val="auto"/>
        </w:rPr>
      </w:pPr>
    </w:p>
    <w:p>
      <w:pPr>
        <w:ind w:left="960" w:right="24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relating to, arising out of or resulting from claims by any holders of shares of Common Stock, in their capacity as such, in connection with the distribution;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liabilities that First Tracks Biotherapeutics is liable for pursuant to the Separation and Distribution Agreement.</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Under the Separation and Distribution Agreement, the amount of any indemnifiable loss will be reduced by (i) any insurance proceeds actually received and any other amounts actually recovered from third parties in respect of the indemnifiable claim, less (ii) any related costs and expenses of such receipt or recovery, including the aggregate cost of pursuing any related insurance claims and any taxes. The Separation and Distribution Agreement provides that an insurer who would otherwise be obligated to pay any claim will not be relieved of the responsibility with respect thereto or have any subrogation rights with respect thereto solely by virtue of the indemnification provisions of the Separation and Distribution Agreement. Pursuant to the Separation and Distribution Agreement, the indemnified party will use commercially reasonable efforts to seek to collect or recover any third-party insurance proceeds or other indemnification, contribution or similar payments to which the indemnified party is entitled in connection with any liability for which the indemnified party seeks indemnification pursuant to the Separation and Distribution Agreement. The amount of any claim by an indemnified party under the Separation and Distribution Agreement will also be reduced to reflect any actual tax savings or insurance proceeds received by any indemnified party that result from the losses that gave rise to such indemnity, and will be increased by an amount equal to any tax cost incurred by any indemnified party that results from the receipt of payments under the Separation and Distribution Agreement.</w:t>
      </w:r>
    </w:p>
    <w:p>
      <w:pPr>
        <w:spacing w:after="0" w:line="19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Separation and Distribution Agreement also establishes procedures with respect to third-party claims subject to indemnification and related matters.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Tax Matters</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will govern the respective rights, responsibilities and obligations of AnaptysBio and First Tracks Biotherapeutics after the Spin-Off with respect to tax liabilities and benefits, tax returns, tax contests and tax sharing regarding U.S. federal, state, local and foreign taxes. The Separation and Distribution Agreement also will provide special rules for allocating certain tax liabilities resulting from the Spin-Off and related transactions.</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Separation and Distribution Agreement, First Tracks Biotherapeutics generally will provide a tax indemnity to AnaptysBio for “SpinCo Indemnified Taxes” (generally First Tracks Biotherapeutics’ shares of transfer taxes and any income taxes, calculated on a pro forma basis, attributable to the assets and liabilities associated with the First Tracks Biotherapeutics Business that arose in taxable periods that precede and include the distribution) and AnaptysBio generally will provide a tax indemnity to First Tracks Biotherapeutics for any “Company Indemnified Taxes” (generally taxes arising in respect of the separation and the distribution, AnaptysBio’s share of transfer taxes and taxes of AnaptysBio or the consolidated group of which AnaptysBio was the common parent that are not SpinCo Indemnified Taxes). The parties have also agreed to make, at AnaptysBio’s election, a Section 336(e) Election with respect to First Tracks Biotherapeutics, resulting in First Tracks Biotherapeutics receiving a fair market value tax basis in its assets.</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Non-Solicit</w:t>
      </w:r>
    </w:p>
    <w:p>
      <w:pPr>
        <w:spacing w:after="0" w:line="119"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The Separation and Distribution Agreement provides that, for a period of 24 months following the time of the Spin-Off, none of AnaptysBio, First Tracks Biotherapeutics or any of their respective subsidiaries will, without the prior written consent of the other party, subject to certain exceptions, directly or indirectly recruit, solicit, hire or retain certain specified employees of the other party or, subject to certain exceptions, induce or attempt to induce any such employee to terminate his or her employment with, or otherwise cease his or her relationship with, the other party or its subsidiaries.</w:t>
      </w:r>
    </w:p>
    <w:p>
      <w:pPr>
        <w:sectPr>
          <w:pgSz w:w="11900" w:h="16838" w:orient="portrait"/>
          <w:cols w:equalWidth="0" w:num="1">
            <w:col w:w="11000"/>
          </w:cols>
          <w:pgMar w:left="440" w:top="297" w:right="459" w:bottom="1440" w:gutter="0" w:footer="0" w:header="0"/>
        </w:sectPr>
      </w:pPr>
    </w:p>
    <w:bookmarkStart w:id="9" w:name="page10"/>
    <w:bookmarkEnd w:id="9"/>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Additional Covenants</w:t>
      </w:r>
    </w:p>
    <w:p>
      <w:pPr>
        <w:spacing w:after="0" w:line="119"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also addresses additional obligations of the parties relating to, among other matters, further assurances, guarantees, provision and retention of corporate records, confidentiality, privilege, ownership and exchanges of information and using their reasonable best efforts to, prior to the Distribution Date, finalize the Transition Services Agreement and identify the services to be provided under the Transition Services Agreement.</w:t>
      </w:r>
    </w:p>
    <w:p>
      <w:pPr>
        <w:spacing w:after="0" w:line="2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Employee Matters / Executive Compensation</w:t>
      </w:r>
    </w:p>
    <w:p>
      <w:pPr>
        <w:spacing w:after="0" w:line="11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Prior to the time of the Spin-Off, AnaptysBio will transfer and assign (i) the employment of all current employees of AnaptysBio and (ii) all independent contractors or other service providers of AnaptysBio or any of its affiliates who primarily provide, or who have primarily provided, services to the First Tracks Biotherapeutics Business and who are currently engaged or providing services as of immediately prior to the distribution, each to First Tracks Biotherapeutics. Such transfer (1) will not be deemed to be a termination of employment by AnaptysBio (upon the effective time of the distribution), as applicable, and (2) will not trigger any obligation to pay severance, separation pay, salary continuation, or other similar benefits to any such transferred employee.</w:t>
      </w:r>
    </w:p>
    <w:p>
      <w:pPr>
        <w:spacing w:after="0" w:line="187"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First Tracks Biotherapeutics will assume and honor all employment and individual agreements between AnaptysBio and the employees and other service providers transferred to First Tracks Biotherapeutics, as well as all benefit plans maintained by AnaptysBio. Upon the time of the Spin-Off, AnaptysBio will cease to be a participating company in any First Tracks Biotherapeutics benefit plan.</w:t>
      </w:r>
    </w:p>
    <w:p>
      <w:pPr>
        <w:spacing w:after="0" w:line="176"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Following the distribution, First Tracks Biotherapeutics will have full responsibility with respect to any liabilities arising or relating to the employment or engagement of all current and former employees and other service providers of AnaptysBio or under the employment and individual agreements and benefit plans transferred to First Tracks Biotherapeutics (inclusive of the payment or performance of any obligation arising out of or relating to any annual cash bonus other than the portion of any annual bonuses that is attributed to the period prior to the separation date or other short-term cash incentive plan or program in which First Tracks Biotherapeutics employees participate (excluding responsibility for the payment of the portion of the bonuses attributed to the period prior to the separation date)).</w:t>
      </w:r>
    </w:p>
    <w:p>
      <w:pPr>
        <w:spacing w:after="0" w:line="187"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AnaptysBio will retain responsibility for the payment of any cash fees payable in respect of service on the board of directors pre-closing that are required by the existing non-employee director compensation plan as of the date of the Separation and Distribution Agreement and payable but not yet paid as of the distribution. First Tracks Biotherapeutics will have no responsibility for any such payments.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First Tracks Biotherapeutics may implement a cash retention program in accordance with the terms of the Transition Services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Separation and Distribution Agreement provides for the following treatment of outstanding equity awards.</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Each outstanding AnaptysBio option will be converted into (i) an adjusted AnaptysBio option covering the same number of shares and</w:t>
      </w:r>
    </w:p>
    <w:p>
      <w:pPr>
        <w:spacing w:after="0" w:line="31" w:lineRule="exact"/>
        <w:rPr>
          <w:sz w:val="20"/>
          <w:szCs w:val="20"/>
          <w:color w:val="auto"/>
        </w:rPr>
      </w:pPr>
    </w:p>
    <w:p>
      <w:pPr>
        <w:ind w:left="4" w:right="20" w:hanging="4"/>
        <w:spacing w:after="0" w:line="252"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First Tracks Biotherapeutics option covering a number of shares equal to the original share number multiplied by the distribution ratio. The aggregate exercise price will be allocated between the two options based on the respective first closing prices of AnaptysBio common stock and First Tracks Biotherapeutics common stock following the Spin-Off. Neither option will be exercisable during a blackout period ending after the post-Spin-Off exercise prices are determined. The new First Tracks Biotherapeutics options will be issued under the First Tracks Biotherapeutics 2026 Equity Incentive Plan (the “2026 Plan”) on substantially similar terms and conditions as the original AnaptysBio options, including vesting, except that references to AnaptysBio will be adjusted to refer to First Tracks Biotherapeutics. The terms of each holder’s applicable AnaptysBio award agreement will otherwise continue to govern the adjusted AnaptysBio options.</w:t>
      </w:r>
    </w:p>
    <w:p>
      <w:pPr>
        <w:sectPr>
          <w:pgSz w:w="11900" w:h="16838" w:orient="portrait"/>
          <w:cols w:equalWidth="0" w:num="1">
            <w:col w:w="11024"/>
          </w:cols>
          <w:pgMar w:left="436" w:top="295" w:right="439" w:bottom="1440" w:gutter="0" w:footer="0" w:header="0"/>
        </w:sectPr>
      </w:pPr>
    </w:p>
    <w:bookmarkStart w:id="10" w:name="page11"/>
    <w:bookmarkEnd w:id="10"/>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Restricted Stock Units. Each holder of an outstanding AnaptysBio restricted stock unit (“RSU”) will receive one First Tracks Biotherapeutics RSU for every AnaptysBio RSU held on the Record Date, as adjusted for the distribution ratio, and will continue to hold the original AnaptysBio RSU in accordance with the applicable award agreement. The First Tracks Biotherapeutics RSUs will be issued under the 2026 Plan on substantially similar terms and conditions as the original AnaptysBio RSUs, including vesting, except that references to AnaptysBio will be adjusted to refer to First Tracks Biotherapeutics. The terms of each holder’s applicable AnaptysBio award agreement will otherwise continue to govern the AnaptysBio RSUs.</w:t>
      </w:r>
    </w:p>
    <w:p>
      <w:pPr>
        <w:spacing w:after="0" w:line="183"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Performance Stock Units. Outstanding AnaptysBio performance stock units (“PSUs”) related to the $75 and $100 stock-price hurdles will be cancelled and replaced with new PSUs covering shares of First Tracks Biotherapeutics common stock equal in value to the cancelled awards, rounded down to the nearest whole share. The replacement PSUs will be subject to substantially equivalent terms and conditions as the cancelled AnaptysBio PSUs, except that the stock-price hurdles will be equitably adjusted to retain the same ratio relative to the First Tracks Biotherapeutics stock price following the Spin-Off as the original hurdles bore to the AnaptysBio stock price prior to the Spin-Off, and performance will thereafter be measured based on the First Tracks Biotherapeutics stock price.</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Additional Terms and Conditions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Holders of outstanding AnaptysBio awards and First Tracks Biotherapeutics awards issued in connection therewith will continue to vest in such awards so long as they remain employed by AnaptysBio, First Tracks Biotherapeutics or any affiliate of either entity.</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Spin-Off will not constitute a “change in control” of AnaptysBio or First Tracks Biotherapeutics (as defined in AnaptysBio’s equity plan or the 2026 Equity Plan, as applicable).</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Licensed Names and Marks</w:t>
      </w:r>
    </w:p>
    <w:p>
      <w:pPr>
        <w:spacing w:after="0" w:line="11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Separation and Distribution Agreement, AnaptysBio, on behalf of itself effective as of the date of the distribution will grant to First Tracks Biotherapeutics a worldwide, non-exclusive, non-transferable (except as otherwise set forth in the Separation and Distribution Agreement), royalty-free, fully paid-up license to use and display the name “AnaptysBio” or any derivative or variation thereof, and any trademarks associated with such name in each case, solely to the extent necessary to transition from uses of such licensed names and marks in the First Tracks Biotherapeutics Business to other names and marks, including in product designations (e.g. ANB033 and ANB101), on signage and materials owned or possessed by First Tracks Biotherapeutics as of the Distribution Date, and as otherwise required to comply with applicable law.</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Shared IP</w:t>
      </w:r>
    </w:p>
    <w:p>
      <w:pPr>
        <w:spacing w:after="0" w:line="119"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In the Separation and Distribution Agreement, effective as of the date of the distribution, AnaptysBio, on behalf of itself, grants to First Tracks Biotherapeutics a worldwide, perpetual, irrevocable, fully paid-up, royalty-free, non-transferable (except as otherwise set forth in the Separation and Distribution Agreement), non-sublicensable (except as otherwise set forth in the Separation and Distribution Agreement), non-exclusive license under certain patents, trade secrets, know-how and other proprietary information included in the assets allocated to AnaptysBio that are owned or otherwise licensable (without additional consideration) by AnaptysBio as of the date of the Separation and Distribution Agreement and that are necessary or reasonably useful to operate and exploit the First Tracks Biotherapeutics Business and its products, product candidates and research programs and natural evolutions thereof to use, reproduce, create derivative works of, modify, distribute, make, have made, sell, offer for sale, import or otherwise exploit products and services solely to the extent necessary or reasonably useful to operate and exploit the First Tracks Biotherapeutics Business as conducted as of the closing of the transactions and any natural evolutions or extensions thereof.</w:t>
      </w:r>
    </w:p>
    <w:p>
      <w:pPr>
        <w:sectPr>
          <w:pgSz w:w="11900" w:h="16838" w:orient="portrait"/>
          <w:cols w:equalWidth="0" w:num="1">
            <w:col w:w="10960"/>
          </w:cols>
          <w:pgMar w:left="440" w:top="297" w:right="499" w:bottom="1440" w:gutter="0" w:footer="0" w:header="0"/>
        </w:sectPr>
      </w:pPr>
    </w:p>
    <w:bookmarkStart w:id="11" w:name="page12"/>
    <w:bookmarkEnd w:id="11"/>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Effective as of the date of the distribution, First Tracks Biotherapeutics, on behalf of itself, grants to AnaptysBio a worldwide, perpetual, irrevocable, fully paid-up, royalty-free, non-transferable (except as otherwise set forth in the Separation and Distribution Agreement), non-sublicensable (except as otherwise set forth in the Separation and Distribution Agreement), non-exclusive license under certain patents, trade secrets, know-how and other proprietary information included in the assets allocated to First Tracks Biotherapeutics that are owned or otherwise licensable (without additional consideration) by First Tracks Biotherapeutics as of the date of the Separation and Distribution Agreement and that are licensed or obligated to be licensed pursuant to the GSK Collaboration or Vanda Collaboration (“First Tracks Biotherapeutics Shared IP”) to the extent and for such purposes as such First Tracks Biotherapeutics Shared IP is licensed or obligated to be licensed under such agreements as of the date of the Separation and Distribution Agreement.</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set forth in the Separation and Distribution Agreement or Transition Services Agreement, all costs and expenses incurred on or prior to the date of the distribution in connection with the preparation, execution, delivery, printing and implementation of the Separation and Distribution Agreement, the Transition Services Agreement, the registration statement in connection with the distribution and the related information statement, and the transactions contemplated thereby, including the distribution, will be paid by AnaptysBio and deemed to be liabilities of AnaptysBio. Each party will bear its own costs and expenses incurred after the date of the distribution.</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Separation and Distribution Agreement may be terminated, and the distribution may be amended, modified or abandoned, at any time prior to the distribution by an agreement in writing signed by AnaptysBio, without the approval of First Tracks Biotherapeutics. After the distribution, the Separation and Distribution Agreement may only be terminated by an agreement in writing signed by AnaptysBio and First Tracks Biotherapeutics.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Jurisdiction</w:t>
      </w:r>
    </w:p>
    <w:p>
      <w:pPr>
        <w:spacing w:after="0" w:line="11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parties to the Separation and Distribution Agreement have agreed that any proceeding with respect to the Separation and Distribution Agreement or the transactions contemplated thereby, or for recognition and enforcement of any judgment in respect thereof, brought by AnaptysBio or First Tracks Biotherapeutics or its successors or assigns will be determined in the Court of Chancery of the State of Delaware. If the Court of Chancery declines jurisdiction, any other state court of the State of Delaware or the United States District Court for the District of Delaware will have exclusive jurisdiction and venue.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entered into a Transition Services Agreement pursuant to which we will provide AnaptysBio with certain specified services for a limited time to ensure orderly transition following the Spin-Off. The services that we will provide will, among others, consist of digital technology, human resources, supply chain, finance, real estate services and support for AnaptysBio to continue to satisfy the contractual requirements of the licensing collaboration between AnaptysBio and Vanda Pharmaceuticals, Inc. for the development and commercialization of imsidolimab. The services are generally intended to be provided for a period no longer than two years following the Spin-Off. The parties may mutually agree to terminate the agreement with respect to any service or negotiate reductions in the scope of services provided. We may terminate the agreement with respect to any service if AnaptysBio has failed to perform any of its material obligations relating to such service and such failure is not cured within thirty (30) days of notice. AnaptysBio, in its capacity as recipient of the services, may terminate the agreement with respect to any service (i) for convenience upon thirty (30) days’ notice or (ii) if we have failed to perform any of our material obligations under the agreement with respect to such service and such failure is not cured within fifteen (15) days of notice. The Transition Services Agreement provides for customary indemnification and limits on liability.</w:t>
      </w:r>
    </w:p>
    <w:p>
      <w:pPr>
        <w:sectPr>
          <w:pgSz w:w="11900" w:h="16838" w:orient="portrait"/>
          <w:cols w:equalWidth="0" w:num="1">
            <w:col w:w="10980"/>
          </w:cols>
          <w:pgMar w:left="440" w:top="297"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Registration Rights Agreement</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On the Distribution Date, in connection with the Private Placement, the Company entered into a registration rights agreement (the “Registration Rights Agreement”) with the Investors, pursuant to which the Company is required to file a registration statement with the SEC covering the resale by the Investors of their shares of Common Stock purchased in the Private Placement as promptly as reasonably practicable, and in any event, no later than 45 days following the Distribution Date.</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Separation and Distribution Agreement, Transition Services Agreement and Registration Rights Agreement do not purport to be complete and are qualified in their entirety by reference to the Separation and Distribution Agreement, Transition Services Agreement and Registration Rights Agreement, which are filed as Exhibits 2.1, 10.1 and 10.2, respectively, to this Current Report on Form 8-K and are incorporated herein by reference.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On the Distribution Date, AnaptysBio completed the Spin-Off. The description of the Spin-Off and Distribution included in the Explanatory Note is incorporated herein by reference into this Item 2.01. In connection with and prior to the Spin-Off and Distribution, AnaptysBio transferred its First Tracks Biotherapeutics Business to the Company. The Company’s audited combined financial statements included in the Information Statement are incorporated by reference herein.</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On the Distribution Date, in connection with the Spin-Off, the Company issued 29,100,802 shares of Common Stock to AnaptysBio in consideration for the transfer of certain entities that are part of AnaptysBio’s biopharma business. After this issuance, AnaptysBio held 29,100,902 shares of Common Stock. The shares of Common Stock issued to AnaptysBio were issued in reliance upon an exemption from registration pursuant to Section 4(a)(2) under the Securities Act of 1933, as amended, which exempts transactions by an issuer not involving any public offering. The offering was not a “public offering” because only one person was involved in the transaction, neither the Company nor AnaptysBio has engaged in general solicitation or advertising with regard to the issuance and sale of the shares of Common Stock, and neither the Company nor AnaptysBio has offered securities to the public in connection with such issuance and sale of the shares of Common Stock.</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5.03 below is incorporated into this Item 3.03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into this Item 5.01 by reference.</w:t>
      </w:r>
    </w:p>
    <w:p>
      <w:pPr>
        <w:sectPr>
          <w:pgSz w:w="11900" w:h="16838" w:orient="portrait"/>
          <w:cols w:equalWidth="0" w:num="1">
            <w:col w:w="11000"/>
          </w:cols>
          <w:pgMar w:left="440" w:top="293" w:right="459" w:bottom="1440" w:gutter="0" w:footer="0" w:header="0"/>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ectPr>
          <w:pgSz w:w="11900" w:h="16838" w:orient="portrait"/>
          <w:cols w:equalWidth="0" w:num="2">
            <w:col w:w="700" w:space="500"/>
            <w:col w:w="9800"/>
          </w:cols>
          <w:pgMar w:left="440" w:top="293"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Our non-employee directors will be entitled to receive cash and equity compensation as provided in our compensation program for non-employee directors. Under the program, non-employee directors will be compensated for service on the board of directors as follows: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Retainers</w:t>
      </w:r>
    </w:p>
    <w:p>
      <w:pPr>
        <w:spacing w:after="0" w:line="11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Each non-employee director will receive an annual cash retainer of $40,000. Each non-employee director who serves as the Chair of the board of directors will receive an additional annual cash retainer of $35,000. Chairs of the following committees will be entitled to the following applicable additional annual cash retainers: (a) Audit Committee Chair: $20,000; (b) Compensation Committee Chair: $15,000; (c) Nominating and Governance Committee Chair: $10,000; (d) R&amp;D Committee Chair: $15,000; and (e) Transaction Committee Chair: $20,000.</w:t>
      </w:r>
    </w:p>
    <w:p>
      <w:pPr>
        <w:sectPr>
          <w:pgSz w:w="11900" w:h="16838" w:orient="portrait"/>
          <w:cols w:equalWidth="0" w:num="1">
            <w:col w:w="11000"/>
          </w:cols>
          <w:pgMar w:left="440" w:top="293" w:right="459" w:bottom="1440" w:gutter="0" w:footer="0" w:header="0"/>
          <w:type w:val="continuous"/>
        </w:sectPr>
      </w:pPr>
    </w:p>
    <w:bookmarkStart w:id="13" w:name="page14"/>
    <w:bookmarkEnd w:id="13"/>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Equity Grants</w:t>
      </w:r>
    </w:p>
    <w:p>
      <w:pPr>
        <w:spacing w:after="0" w:line="11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Each non-employee director will receive a stock option to purchase 14,000 shares of common stock and 5,000 restricted stock units (“RSUs”) as well as a prorated annual equity grant. Each of our non-employee directors will receive an annual stock option grant each year in January to purchase 7,000 shares of common stock and 2,500 RSUs.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Officers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April 17, 2026, our board of directors appointed Ajim Tamboli as the Chief Financial Officer, effective as of the Spin-Off.</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Mr. Tamboli previously served as Chief Financial Officer for ADARx Pharmaceuticals from 2024 to 2025, Arbor Biotechnologies from 2023 to 2024, Monte Rosa Therapeutics from 2020 to 2023 and Rodin Therapeutics from 2019 to 2020. He has extensive experience in healthcare asset management, having managed a global portfolio of biotech and pharmaceutical companies, notably as a founding partner of Endurant Capital Management and with Columbia Management. Earlier in his career, Mr. Tamboli was a Senior Biotechnology Equity Research Analyst with Lehman Brothers. Mr. Tamboli earned an MS in Biotechnology and BS in Biomedical Science/Entrepreneurial Management from the University of Pennsylvania School of Engineering and Applied Science/Wharton School, where he was a Benjamin Franklin Scholar. He is a CFA® charterholder.</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Mr. Tamboli has no family relationships with any member of the board of directors or any executive officer of the Company and is not a party to any transaction that would be disclosed under Item 404(a) of Regulation S-K. There are no arrangements or understandings between Mr. Tamboli or any other person and the Company pursuant to which Mr. Tamboli was appointed to serve in his role.</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Company has entered into an employment agreement with Mr. Tamboli (the “Tamboli Employment Agreement”), which sets forth the principal terms and conditions of his employment as the Company’s Chief Financial Officer, including his initial annual base salary of $516,000 and an annual target cash bonus opportunity of up to 40% of his base salary, which bonus may be earned based upon the achievement of specified performance goals (and which will be prorated for his partial year of service). Mr. Tamboli also received an equity grant worth $2,550,000 consisting of restricted stock units (the “RSU Award”) and stock options (the “Stock Option Award,” together with the RSU Award, the “Equity Awards”). The Equity Awards will vest such that (i) 1/4 of the shares subject to the Stock Option Award shall vest as of the first anniversary of his start date of April 20, 2026 (the “Tamboli Start Date”) and 1/48th of the shares subject to the Stock Option Award shall vest in equal monthly installments on the monthly anniversary of the Tamboli Start Date and for the 36 months thereafter and (ii) 1/4 of the RSUs shall vest as of the first anniversary of the Tamboli Start Date and 1/4th of the RSUs shall vest in equal annual installments on the annual anniversary of the Tamboli Start Date and for the 3 years thereafter. The Tamboli Employment Agreement will continue unless it is terminated pursuant to its terms, however Mr. Tamboli’s employment is at-will and may be terminated at any time, with or without cause. In the event that Mr. Tamboli is terminated without “cause” or resigns for “good reason,” provided that Mr. Tamboli delivers a signed waiver and release of claims in favor of the Company and satisfies all conditions to make such release effective, Mr. Tamboli will receive (i) continued salary payments for nine months at a base salary rate equal to the greater of (a) the rate in effect at the time of termination or (b) the rate in effect immediately prior to the event giving rise to Good Reason, and (ii) payment of COBRA premiums for nine months, or until Mr. Tamboli obtains new employment. If the Company experiences a “corporate transaction” and Mr. Tamboli is terminated without “cause” or resigns for “good reason” upon the occurrence of, or within 13 months following, such “corporate transaction”, and provided that Mr. Tamboli delivers a signed waiver and release of claims in favor of the Company and satisfies all conditions to make such release effective, Mr. Tamboli will receive (i) the continued salary payments, at a base salary rate equal to the greater of (a) the rate in effect at the time of termination or (b) the rate in effect immediately prior to the event giving rise to Good Reason, together with the COBRA premiums described above, which shall continue for twelve (12) months, (ii) a bonus payment equal to his target bonus payment for the applicable year plus a prorated bonus based on actual achievement by the Company of goals for the year, and (iii) all of Mr. Tamboli’s outstanding equity</w:t>
      </w:r>
    </w:p>
    <w:p>
      <w:pPr>
        <w:sectPr>
          <w:pgSz w:w="11900" w:h="16838" w:orient="portrait"/>
          <w:cols w:equalWidth="0" w:num="1">
            <w:col w:w="11000"/>
          </w:cols>
          <w:pgMar w:left="440" w:top="295" w:right="459" w:bottom="1440" w:gutter="0" w:footer="0" w:header="0"/>
        </w:sectPr>
      </w:pPr>
    </w:p>
    <w:bookmarkStart w:id="14" w:name="page15"/>
    <w:bookmarkEnd w:id="14"/>
    <w:p>
      <w:pPr>
        <w:jc w:val="both"/>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awards, including the Equity Awards, will vest in full. Additionally, the Tamboli Employment Agreement provides that if any payments to Mr. Tamboli would constitute “parachute payments” under Section 280G of the Internal Revenue Code and would otherwise be subject to the excise tax imposed by Section 4999, such payments will be reduced to the extent necessary to avoid the excise tax, but only if such reduction would result in a greater after-tax benefit to Mr. Tamboli than receiving the full amount and paying the excise tax.</w:t>
      </w:r>
    </w:p>
    <w:p>
      <w:pPr>
        <w:spacing w:after="0" w:line="180"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Tamboli Employment Agreement is not complete and is qualified in its entirety by reference to the full text of the Tamboli Employment Agreement, which will be filed as an exhibit to the Company’s Quarterly Report on Form 10-Q for the three months ended March 31, 2026.</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We filed an Amended and Restated Certificate of Incorporation (the “Charter”) with the Secretary of State of the State of Delaware, which became effective in connection with the Spin-Off. Our Bylaws (the “Bylaws”) also became effective in connection with the Spin-Off. The Charter and Bylaws were previously approved by our board of directors and AnaptysBio’s board of directors, in its capacity as the sole member of the Company.</w:t>
      </w:r>
    </w:p>
    <w:p>
      <w:pPr>
        <w:spacing w:after="0" w:line="176" w:lineRule="exact"/>
        <w:rPr>
          <w:sz w:val="20"/>
          <w:szCs w:val="20"/>
          <w:color w:val="auto"/>
        </w:rPr>
      </w:pPr>
    </w:p>
    <w:p>
      <w:pPr>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A summary of the material provisions of the Charter and the Bylaws can be found in the section entitled “Description of Capital Stock” in the Information Statement. The summary does not purport to be complete and is qualified in its entirety by reference to the full text of the Charter and Bylaws, which are filed as Exhibits 3.1 and 3.2, respectively, to this Current Report on Form 8-K and incorporated herein by reference.</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On April 20, 2026, the Company issued a press release announcing the completion of the Spin-Off. The full text of this press release is filed as Exhibit 99.1 to this Current Report on Form 8-K and is incorporated by reference in this Item 8.01.</w:t>
      </w: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Item 9.01</w:t>
            </w:r>
          </w:p>
        </w:tc>
        <w:tc>
          <w:tcPr>
            <w:tcW w:w="10300" w:type="dxa"/>
            <w:vAlign w:val="bottom"/>
            <w:gridSpan w:val="9"/>
          </w:tcPr>
          <w:p>
            <w:pPr>
              <w:ind w:left="4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xml:space="preserve">(d) </w:t>
            </w:r>
          </w:p>
        </w:tc>
        <w:tc>
          <w:tcPr>
            <w:tcW w:w="1030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Exhibits</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tcPr>
          <w:p>
            <w:pPr>
              <w:spacing w:after="0"/>
              <w:rPr>
                <w:sz w:val="23"/>
                <w:szCs w:val="23"/>
                <w:color w:val="auto"/>
              </w:rPr>
            </w:pPr>
          </w:p>
        </w:tc>
        <w:tc>
          <w:tcPr>
            <w:tcW w:w="85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Separation and Distribution Agreement, dated as of April 20, 2026, by and between AnaptysBio, Inc. and First Tracks</w:t>
            </w:r>
          </w:p>
        </w:tc>
        <w:tc>
          <w:tcPr>
            <w:tcW w:w="1080" w:type="dxa"/>
            <w:vAlign w:val="bottom"/>
            <w:gridSpan w:val="3"/>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Biotherapeutics, Inc.†+</w:t>
            </w: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24"/>
                <w:szCs w:val="24"/>
                <w:color w:val="auto"/>
              </w:rPr>
            </w:pPr>
          </w:p>
        </w:tc>
        <w:tc>
          <w:tcPr>
            <w:tcW w:w="3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Amended and Restated Certificate of Incorporation.</w:t>
            </w:r>
          </w:p>
        </w:tc>
        <w:tc>
          <w:tcPr>
            <w:tcW w:w="5840" w:type="dxa"/>
            <w:vAlign w:val="bottom"/>
            <w:gridSpan w:val="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24"/>
                <w:szCs w:val="24"/>
                <w:color w:val="auto"/>
              </w:rPr>
            </w:pPr>
          </w:p>
        </w:tc>
        <w:tc>
          <w:tcPr>
            <w:tcW w:w="95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Bylaws.</w:t>
            </w:r>
          </w:p>
        </w:tc>
      </w:tr>
      <w:tr>
        <w:trPr>
          <w:trHeight w:val="20"/>
        </w:trPr>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4"/>
                <w:szCs w:val="24"/>
                <w:color w:val="auto"/>
              </w:rPr>
            </w:pPr>
          </w:p>
        </w:tc>
        <w:tc>
          <w:tcPr>
            <w:tcW w:w="95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Transition Services Agreement, dated as of April 20, 2026, by and between AnaptysBio, Inc. and First Tracks Biotherapeutics, Inc.†</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tcPr>
          <w:p>
            <w:pPr>
              <w:spacing w:after="0"/>
              <w:rPr>
                <w:sz w:val="24"/>
                <w:szCs w:val="24"/>
                <w:color w:val="auto"/>
              </w:rPr>
            </w:pPr>
          </w:p>
        </w:tc>
        <w:tc>
          <w:tcPr>
            <w:tcW w:w="88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Registration Rights Agreement, dated as of April 20, 2026, by and among the Company and the Investors party thereto.†+</w:t>
            </w:r>
          </w:p>
        </w:tc>
        <w:tc>
          <w:tcPr>
            <w:tcW w:w="7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24"/>
                <w:szCs w:val="24"/>
                <w:color w:val="auto"/>
              </w:rPr>
            </w:pPr>
          </w:p>
        </w:tc>
        <w:tc>
          <w:tcPr>
            <w:tcW w:w="57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dated April 20, 2026, issued by First Tracks Biotherapeutics, Inc.</w:t>
            </w:r>
          </w:p>
        </w:tc>
        <w:tc>
          <w:tcPr>
            <w:tcW w:w="3800" w:type="dxa"/>
            <w:vAlign w:val="bottom"/>
            <w:gridSpan w:val="4"/>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4"/>
                <w:szCs w:val="24"/>
                <w:color w:val="auto"/>
              </w:rPr>
            </w:pPr>
          </w:p>
        </w:tc>
        <w:tc>
          <w:tcPr>
            <w:tcW w:w="9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224" w:right="480" w:hanging="224"/>
        <w:spacing w:after="0" w:line="282" w:lineRule="auto"/>
        <w:tabs>
          <w:tab w:leader="none" w:pos="2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spacing w:after="0" w:line="67" w:lineRule="exact"/>
        <w:rPr>
          <w:sz w:val="20"/>
          <w:szCs w:val="20"/>
          <w:color w:val="auto"/>
        </w:rPr>
      </w:pPr>
    </w:p>
    <w:p>
      <w:pPr>
        <w:ind w:left="224" w:right="540" w:hanging="224"/>
        <w:spacing w:after="0" w:line="282" w:lineRule="auto"/>
        <w:tabs>
          <w:tab w:leader="none" w:pos="2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pursuant to Item 601(a)(5) of Regulation S-K. The Company agrees to furnish supplementally a copy of any omitted schedule or exhibit to the Commission upon its request.</w:t>
      </w:r>
    </w:p>
    <w:p>
      <w:pPr>
        <w:sectPr>
          <w:pgSz w:w="11900" w:h="16838" w:orient="portrait"/>
          <w:cols w:equalWidth="0" w:num="1">
            <w:col w:w="11024"/>
          </w:cols>
          <w:pgMar w:left="436" w:top="297" w:right="439" w:bottom="1440" w:gutter="0" w:footer="0" w:header="0"/>
        </w:sectPr>
      </w:pPr>
    </w:p>
    <w:bookmarkStart w:id="15" w:name="page16"/>
    <w:bookmarkEnd w:id="1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FIRST TRACKS BIOTHERAPEUTICS,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 Faga</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       Title: President and Chief Executive Officer</w:t>
      </w:r>
    </w:p>
    <w:p>
      <w:pPr>
        <w:sectPr>
          <w:pgSz w:w="11900" w:h="16838" w:orient="portrait"/>
          <w:cols w:equalWidth="0" w:num="1">
            <w:col w:w="10700"/>
          </w:cols>
          <w:pgMar w:left="440" w:top="293" w:right="75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AND DISTRIBUTION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ANAPTYSBIO,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April 20, 2026</w:t>
      </w:r>
    </w:p>
    <w:p>
      <w:pPr>
        <w:spacing w:after="0" w:line="2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NO AGREEMENT, ORAL OR WRITTEN, REGARDING OR RELATING TO ANY OF THE MATTERS COVERED BY THIS DRAFT AGREEMENT HAS BEEN ENTERED INTO BETWEEN THE PARTIES. THIS DOCUMENT, IN ITS PRESENT FORM OR AS IT MAY BE HEREAFTER REVISED BY ANY PARTY, WILL NOT BECOME A BINDING AGREEMENT OF THE PARTIES UNLESS AND UNTIL IT HAS BEEN SIGNED BY ALL PARTIES. THE EFFECT OF THIS LEGEND MAY NOT BE CHANGED BY ANY ACTION OF THE PARTIES.</w:t>
      </w:r>
    </w:p>
    <w:p>
      <w:pPr>
        <w:spacing w:after="0" w:line="179"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SEPARATION AND DISTRIBUTION AGREEMENT HAS BEEN OMITTED BY MEANS OF REDACTING A PORTION OF THE TEXT AND REPLACING IT WITH [***], PURSUANT TO REGULATION S-K ITEM 601(B) OF THE SECURITIES ACT OF 1933, AS AMENDED. CERTAIN CONFIDENTIAL INFORMATION HAS BEEN EXCLUDED FROM THE EXHIBIT BECAUSE IT IS: (i) NOT MATERIAL AND (ii) WOULD BE COMPETITIVELY HARMFUL IF PUBLICLY DISCLOSED.</w:t>
      </w:r>
    </w:p>
    <w:p>
      <w:pPr>
        <w:sectPr>
          <w:pgSz w:w="11900" w:h="16838" w:orient="portrait"/>
          <w:cols w:equalWidth="0" w:num="1">
            <w:col w:w="11020"/>
          </w:cols>
          <w:pgMar w:left="440" w:top="117" w:right="4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86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20"/>
                <w:szCs w:val="20"/>
                <w:color w:val="auto"/>
              </w:rPr>
            </w:pPr>
          </w:p>
        </w:tc>
      </w:tr>
      <w:tr>
        <w:trPr>
          <w:trHeight w:val="351"/>
        </w:trPr>
        <w:tc>
          <w:tcPr>
            <w:tcW w:w="88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453"/>
        </w:trPr>
        <w:tc>
          <w:tcPr>
            <w:tcW w:w="880" w:type="dxa"/>
            <w:vAlign w:val="bottom"/>
          </w:tcPr>
          <w:p>
            <w:pPr>
              <w:spacing w:after="0"/>
              <w:rPr>
                <w:sz w:val="24"/>
                <w:szCs w:val="24"/>
                <w:color w:val="auto"/>
              </w:rPr>
            </w:pPr>
          </w:p>
        </w:tc>
        <w:tc>
          <w:tcPr>
            <w:tcW w:w="9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7"/>
              </w:rPr>
              <w:t>ARTICLE I</w:t>
            </w:r>
          </w:p>
        </w:tc>
        <w:tc>
          <w:tcPr>
            <w:tcW w:w="28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9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DEFINITIONS; CONSTRUCTION</w:t>
            </w:r>
          </w:p>
        </w:tc>
        <w:tc>
          <w:tcPr>
            <w:tcW w:w="280" w:type="dxa"/>
            <w:vAlign w:val="bottom"/>
          </w:tcPr>
          <w:p>
            <w:pPr>
              <w:spacing w:after="0"/>
              <w:rPr>
                <w:sz w:val="24"/>
                <w:szCs w:val="24"/>
                <w:color w:val="auto"/>
              </w:rPr>
            </w:pP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  Rules of 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880" w:type="dxa"/>
            <w:vAlign w:val="bottom"/>
          </w:tcPr>
          <w:p>
            <w:pPr>
              <w:spacing w:after="0"/>
              <w:rPr>
                <w:sz w:val="24"/>
                <w:szCs w:val="24"/>
                <w:color w:val="auto"/>
              </w:rPr>
            </w:pPr>
          </w:p>
        </w:tc>
        <w:tc>
          <w:tcPr>
            <w:tcW w:w="9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ARTICLE II</w:t>
            </w:r>
          </w:p>
        </w:tc>
        <w:tc>
          <w:tcPr>
            <w:tcW w:w="28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9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6"/>
              </w:rPr>
              <w:t>SEPARATION</w:t>
            </w:r>
          </w:p>
        </w:tc>
        <w:tc>
          <w:tcPr>
            <w:tcW w:w="280" w:type="dxa"/>
            <w:vAlign w:val="bottom"/>
          </w:tcPr>
          <w:p>
            <w:pPr>
              <w:spacing w:after="0"/>
              <w:rPr>
                <w:sz w:val="24"/>
                <w:szCs w:val="24"/>
                <w:color w:val="auto"/>
              </w:rPr>
            </w:pPr>
          </w:p>
        </w:tc>
      </w:tr>
      <w:tr>
        <w:trPr>
          <w:trHeight w:val="30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  Transfer of Assets and Assumption of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2.3  Treatment of Commingled Contracts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2.4  Nonassignability of Assets and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Wrong Pockets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2.6  Novation of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2.8  Bank Accounts; Funds in Transit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2.9  Disclaimer of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880" w:type="dxa"/>
            <w:vAlign w:val="bottom"/>
          </w:tcPr>
          <w:p>
            <w:pPr>
              <w:spacing w:after="0"/>
              <w:rPr>
                <w:sz w:val="24"/>
                <w:szCs w:val="24"/>
                <w:color w:val="auto"/>
              </w:rPr>
            </w:pPr>
          </w:p>
        </w:tc>
        <w:tc>
          <w:tcPr>
            <w:tcW w:w="9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7"/>
              </w:rPr>
              <w:t>ARTICLE III</w:t>
            </w:r>
          </w:p>
        </w:tc>
        <w:tc>
          <w:tcPr>
            <w:tcW w:w="28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98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DISTRIBUTION</w:t>
            </w:r>
          </w:p>
        </w:tc>
        <w:tc>
          <w:tcPr>
            <w:tcW w:w="280" w:type="dxa"/>
            <w:vAlign w:val="bottom"/>
          </w:tcPr>
          <w:p>
            <w:pPr>
              <w:spacing w:after="0"/>
              <w:rPr>
                <w:sz w:val="24"/>
                <w:szCs w:val="24"/>
                <w:color w:val="auto"/>
              </w:rPr>
            </w:pPr>
          </w:p>
        </w:tc>
      </w:tr>
      <w:tr>
        <w:trPr>
          <w:trHeight w:val="30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  Actions on or Prior to the Distribution Date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3.3  SpinCo Organization Documents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3.5  Election of Officers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3.6  State Securities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Listing Application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9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Withholding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70" w:right="4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8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ARTICLE IV</w:t>
            </w:r>
          </w:p>
        </w:tc>
        <w:tc>
          <w:tcPr>
            <w:tcW w:w="1840" w:type="dxa"/>
            <w:vAlign w:val="bottom"/>
          </w:tcPr>
          <w:p>
            <w:pPr>
              <w:spacing w:after="0"/>
              <w:rPr>
                <w:sz w:val="20"/>
                <w:szCs w:val="20"/>
                <w:color w:val="auto"/>
              </w:rPr>
            </w:pPr>
          </w:p>
        </w:tc>
      </w:tr>
      <w:tr>
        <w:trPr>
          <w:trHeight w:val="324"/>
        </w:trPr>
        <w:tc>
          <w:tcPr>
            <w:tcW w:w="880" w:type="dxa"/>
            <w:vAlign w:val="bottom"/>
          </w:tcPr>
          <w:p>
            <w:pPr>
              <w:spacing w:after="0"/>
              <w:rPr>
                <w:sz w:val="24"/>
                <w:szCs w:val="24"/>
                <w:color w:val="auto"/>
              </w:rPr>
            </w:pPr>
          </w:p>
        </w:tc>
        <w:tc>
          <w:tcPr>
            <w:tcW w:w="8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ADDITIONAL COVENANTS; FURTHER ASSURANCES</w:t>
            </w:r>
          </w:p>
        </w:tc>
        <w:tc>
          <w:tcPr>
            <w:tcW w:w="1840" w:type="dxa"/>
            <w:vAlign w:val="bottom"/>
          </w:tcPr>
          <w:p>
            <w:pPr>
              <w:spacing w:after="0"/>
              <w:rPr>
                <w:sz w:val="24"/>
                <w:szCs w:val="24"/>
                <w:color w:val="auto"/>
              </w:rPr>
            </w:pPr>
          </w:p>
        </w:tc>
      </w:tr>
      <w:tr>
        <w:trPr>
          <w:trHeight w:val="30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  RemainCo Names and Marks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  Intellectual Property Recordation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4.4  No Solicit; No Hire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Insurance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IP</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Assurances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4.8  Vanda License Agreement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4.9  Backup Security Interest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880" w:type="dxa"/>
            <w:vAlign w:val="bottom"/>
          </w:tcPr>
          <w:p>
            <w:pPr>
              <w:spacing w:after="0"/>
              <w:rPr>
                <w:sz w:val="24"/>
                <w:szCs w:val="24"/>
                <w:color w:val="auto"/>
              </w:rPr>
            </w:pPr>
          </w:p>
        </w:tc>
        <w:tc>
          <w:tcPr>
            <w:tcW w:w="8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ARTICLE V</w:t>
            </w:r>
          </w:p>
        </w:tc>
        <w:tc>
          <w:tcPr>
            <w:tcW w:w="184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8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INDEMNIFICATION; RELEASE</w:t>
            </w:r>
          </w:p>
        </w:tc>
        <w:tc>
          <w:tcPr>
            <w:tcW w:w="1840" w:type="dxa"/>
            <w:vAlign w:val="bottom"/>
          </w:tcPr>
          <w:p>
            <w:pPr>
              <w:spacing w:after="0"/>
              <w:rPr>
                <w:sz w:val="24"/>
                <w:szCs w:val="24"/>
                <w:color w:val="auto"/>
              </w:rPr>
            </w:pPr>
          </w:p>
        </w:tc>
      </w:tr>
      <w:tr>
        <w:trPr>
          <w:trHeight w:val="30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  Release of Pre-Distribution Claims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5.2  Indemnification by the Company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5.3  Indemnification by SpinCo</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Claims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5.5  Limitation of Liability; Mitigation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Contests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5.8  Section 336(e) Election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880" w:type="dxa"/>
            <w:vAlign w:val="bottom"/>
          </w:tcPr>
          <w:p>
            <w:pPr>
              <w:spacing w:after="0"/>
              <w:rPr>
                <w:sz w:val="24"/>
                <w:szCs w:val="24"/>
                <w:color w:val="auto"/>
              </w:rPr>
            </w:pPr>
          </w:p>
        </w:tc>
        <w:tc>
          <w:tcPr>
            <w:tcW w:w="8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ARTICLE VI</w:t>
            </w:r>
          </w:p>
        </w:tc>
        <w:tc>
          <w:tcPr>
            <w:tcW w:w="184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82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ACCESS TO INFORMATION</w:t>
            </w:r>
          </w:p>
        </w:tc>
        <w:tc>
          <w:tcPr>
            <w:tcW w:w="1840" w:type="dxa"/>
            <w:vAlign w:val="bottom"/>
          </w:tcPr>
          <w:p>
            <w:pPr>
              <w:spacing w:after="0"/>
              <w:rPr>
                <w:sz w:val="24"/>
                <w:szCs w:val="24"/>
                <w:color w:val="auto"/>
              </w:rPr>
            </w:pPr>
          </w:p>
        </w:tc>
      </w:tr>
      <w:tr>
        <w:trPr>
          <w:trHeight w:val="30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  Provision of Corporate Records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6.2  Access to Information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6.3  Tax Information and Cooperation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6.4  Witnesses; Documents and Cooperation in Proceedings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8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Privileged Matters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6.7  Ownership of Information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6.8  Cost of Providing Records and Information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Retention of Records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Agreements Providing for Exchange of Information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Policies and Best Practices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 and Agreements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980" w:type="dxa"/>
            <w:vAlign w:val="bottom"/>
          </w:tcPr>
          <w:p>
            <w:pPr>
              <w:spacing w:after="0"/>
              <w:rPr>
                <w:sz w:val="24"/>
                <w:szCs w:val="24"/>
                <w:color w:val="auto"/>
              </w:rPr>
            </w:pPr>
          </w:p>
        </w:tc>
        <w:tc>
          <w:tcPr>
            <w:tcW w:w="81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ARTICLE VII</w:t>
            </w:r>
          </w:p>
        </w:tc>
        <w:tc>
          <w:tcPr>
            <w:tcW w:w="18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1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CONDITIONS PRECEDENT TO THE DISTRIBUTION</w:t>
            </w:r>
          </w:p>
        </w:tc>
        <w:tc>
          <w:tcPr>
            <w:tcW w:w="1880" w:type="dxa"/>
            <w:vAlign w:val="bottom"/>
          </w:tcPr>
          <w:p>
            <w:pPr>
              <w:spacing w:after="0"/>
              <w:rPr>
                <w:sz w:val="24"/>
                <w:szCs w:val="24"/>
                <w:color w:val="auto"/>
              </w:rPr>
            </w:pPr>
          </w:p>
        </w:tc>
      </w:tr>
      <w:tr>
        <w:trPr>
          <w:trHeight w:val="32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Precedent to Distribution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980" w:type="dxa"/>
            <w:vAlign w:val="bottom"/>
          </w:tcPr>
          <w:p>
            <w:pPr>
              <w:spacing w:after="0"/>
              <w:rPr>
                <w:sz w:val="24"/>
                <w:szCs w:val="24"/>
                <w:color w:val="auto"/>
              </w:rPr>
            </w:pPr>
          </w:p>
        </w:tc>
        <w:tc>
          <w:tcPr>
            <w:tcW w:w="81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ARTICLE VIII</w:t>
            </w:r>
          </w:p>
        </w:tc>
        <w:tc>
          <w:tcPr>
            <w:tcW w:w="188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1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MISCELLANEOUS</w:t>
            </w:r>
          </w:p>
        </w:tc>
        <w:tc>
          <w:tcPr>
            <w:tcW w:w="1880" w:type="dxa"/>
            <w:vAlign w:val="bottom"/>
          </w:tcPr>
          <w:p>
            <w:pPr>
              <w:spacing w:after="0"/>
              <w:rPr>
                <w:sz w:val="24"/>
                <w:szCs w:val="24"/>
                <w:color w:val="auto"/>
              </w:rPr>
            </w:pPr>
          </w:p>
        </w:tc>
      </w:tr>
      <w:tr>
        <w:trPr>
          <w:trHeight w:val="30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 Expenses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 and Signature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Binding Effect; No Assignment; No Third Party Beneficiaries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8.8</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8.9</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Submission to Jurisdiction; Waiver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8.14</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8.15</w:t>
            </w:r>
          </w:p>
        </w:tc>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 AND SCHEDULES</w:t>
      </w:r>
    </w:p>
    <w:p>
      <w:pPr>
        <w:sectPr>
          <w:pgSz w:w="11900" w:h="16838" w:orient="portrait"/>
          <w:cols w:equalWidth="0" w:num="1">
            <w:col w:w="10019"/>
          </w:cols>
          <w:pgMar w:left="440" w:top="270" w:right="1440" w:bottom="1440" w:gutter="0" w:footer="0" w:header="0"/>
        </w:sectPr>
      </w:pPr>
    </w:p>
    <w:p>
      <w:pPr>
        <w:spacing w:after="0" w:line="26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Exhibit A Exhibit B Exhibit C</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Transition Services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SpinCo Certificate of Incorporation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Bylaws</w:t>
      </w:r>
    </w:p>
    <w:p>
      <w:pPr>
        <w:spacing w:after="0" w:line="206" w:lineRule="exact"/>
        <w:rPr>
          <w:sz w:val="20"/>
          <w:szCs w:val="20"/>
          <w:color w:val="auto"/>
        </w:rPr>
      </w:pPr>
    </w:p>
    <w:p>
      <w:pPr>
        <w:sectPr>
          <w:pgSz w:w="11900" w:h="16838" w:orient="portrait"/>
          <w:cols w:equalWidth="0" w:num="2">
            <w:col w:w="700" w:space="400"/>
            <w:col w:w="8919"/>
          </w:cols>
          <w:pgMar w:left="440" w:top="270" w:right="1440" w:bottom="1440" w:gutter="0" w:footer="0" w:header="0"/>
          <w:type w:val="continuous"/>
        </w:sect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A</w:t>
      </w:r>
      <w:r>
        <w:rPr>
          <w:sz w:val="20"/>
          <w:szCs w:val="20"/>
          <w:color w:val="auto"/>
        </w:rPr>
        <w:tab/>
      </w:r>
      <w:r>
        <w:rPr>
          <w:rFonts w:ascii="Times New Roman" w:cs="Times New Roman" w:eastAsia="Times New Roman" w:hAnsi="Times New Roman"/>
          <w:sz w:val="17"/>
          <w:szCs w:val="17"/>
          <w:color w:val="auto"/>
        </w:rPr>
        <w:t>RemainCo Assets</w:t>
      </w:r>
    </w:p>
    <w:p>
      <w:pPr>
        <w:spacing w:after="0" w:line="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B</w:t>
      </w:r>
      <w:r>
        <w:rPr>
          <w:sz w:val="20"/>
          <w:szCs w:val="20"/>
          <w:color w:val="auto"/>
        </w:rPr>
        <w:tab/>
      </w:r>
      <w:r>
        <w:rPr>
          <w:rFonts w:ascii="Times New Roman" w:cs="Times New Roman" w:eastAsia="Times New Roman" w:hAnsi="Times New Roman"/>
          <w:sz w:val="17"/>
          <w:szCs w:val="17"/>
          <w:color w:val="auto"/>
        </w:rPr>
        <w:t>SpinCo Employees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C</w:t>
        <w:tab/>
        <w:t>SpinCo Liabilities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D</w:t>
      </w:r>
      <w:r>
        <w:rPr>
          <w:sz w:val="20"/>
          <w:szCs w:val="20"/>
          <w:color w:val="auto"/>
        </w:rPr>
        <w:tab/>
      </w:r>
      <w:r>
        <w:rPr>
          <w:rFonts w:ascii="Times New Roman" w:cs="Times New Roman" w:eastAsia="Times New Roman" w:hAnsi="Times New Roman"/>
          <w:sz w:val="17"/>
          <w:szCs w:val="17"/>
          <w:color w:val="auto"/>
        </w:rPr>
        <w:t>RemainCo Plans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E</w:t>
        <w:tab/>
        <w:t>Steps Plan</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F</w:t>
      </w:r>
      <w:r>
        <w:rPr>
          <w:sz w:val="20"/>
          <w:szCs w:val="20"/>
          <w:color w:val="auto"/>
        </w:rPr>
        <w:tab/>
      </w:r>
      <w:r>
        <w:rPr>
          <w:rFonts w:ascii="Times New Roman" w:cs="Times New Roman" w:eastAsia="Times New Roman" w:hAnsi="Times New Roman"/>
          <w:sz w:val="17"/>
          <w:szCs w:val="17"/>
          <w:color w:val="auto"/>
        </w:rPr>
        <w:t>SpinCo Accounts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G</w:t>
        <w:tab/>
        <w:t>SpinCo Assets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H</w:t>
        <w:tab/>
        <w:t>Commingled Contracts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I</w:t>
      </w:r>
      <w:r>
        <w:rPr>
          <w:sz w:val="20"/>
          <w:szCs w:val="20"/>
          <w:color w:val="auto"/>
        </w:rPr>
        <w:tab/>
      </w:r>
      <w:r>
        <w:rPr>
          <w:rFonts w:ascii="Times New Roman" w:cs="Times New Roman" w:eastAsia="Times New Roman" w:hAnsi="Times New Roman"/>
          <w:sz w:val="17"/>
          <w:szCs w:val="17"/>
          <w:color w:val="auto"/>
        </w:rPr>
        <w:t>RemainCo Liabilities</w:t>
      </w:r>
    </w:p>
    <w:p>
      <w:pPr>
        <w:spacing w:after="0" w:line="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Schedule J</w:t>
      </w:r>
      <w:r>
        <w:rPr>
          <w:sz w:val="20"/>
          <w:szCs w:val="20"/>
          <w:color w:val="auto"/>
        </w:rPr>
        <w:tab/>
      </w:r>
      <w:r>
        <w:rPr>
          <w:rFonts w:ascii="Times New Roman" w:cs="Times New Roman" w:eastAsia="Times New Roman" w:hAnsi="Times New Roman"/>
          <w:sz w:val="18"/>
          <w:szCs w:val="18"/>
          <w:color w:val="auto"/>
        </w:rPr>
        <w:t>Employment Arrangements</w:t>
      </w:r>
    </w:p>
    <w:p>
      <w:pPr>
        <w:sectPr>
          <w:pgSz w:w="11900" w:h="16838" w:orient="portrait"/>
          <w:cols w:equalWidth="0" w:num="1">
            <w:col w:w="10019"/>
          </w:cols>
          <w:pgMar w:left="440" w:top="270" w:right="1440" w:bottom="1440" w:gutter="0" w:footer="0" w:header="0"/>
          <w:type w:val="continuous"/>
        </w:sectPr>
      </w:pPr>
    </w:p>
    <w:p>
      <w:pPr>
        <w:spacing w:after="0" w:line="13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019"/>
          </w:cols>
          <w:pgMar w:left="440" w:top="270" w:right="1440" w:bottom="1440" w:gutter="0" w:footer="0" w:header="0"/>
          <w:type w:val="continuous"/>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SEPARATION AND DISTRIBUTION AGREEMENT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This SEPARATION AND DISTRIBUTION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April 20, 2026, is entered into by and among AnaptysBio, Inc., a Delaware corporation (together with its successor entities,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First Tracks Biotherapeutics, Inc., a Delaware corporation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 of Directors</w:t>
      </w:r>
      <w:r>
        <w:rPr>
          <w:rFonts w:ascii="Times New Roman" w:cs="Times New Roman" w:eastAsia="Times New Roman" w:hAnsi="Times New Roman"/>
          <w:sz w:val="18"/>
          <w:szCs w:val="18"/>
          <w:color w:val="auto"/>
        </w:rPr>
        <w:t>”) has determined that it is in the best interests of the Company and its stockholders to separate certain businesses, product candidates and corporate infrastructure of the Company, such that at the time of the Distribution (i) the Company will own and conduct the Royalty Business and (ii) SpinCo will own and conduct the SpinCo Business;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Company Board of Directors has authorized the distribution to the Company’s stockholders as of the Distribution Record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all of the shares of common stock of SpinCo (“</w:t>
      </w:r>
      <w:r>
        <w:rPr>
          <w:rFonts w:ascii="Times New Roman" w:cs="Times New Roman" w:eastAsia="Times New Roman" w:hAnsi="Times New Roman"/>
          <w:sz w:val="18"/>
          <w:szCs w:val="18"/>
          <w:u w:val="single" w:color="auto"/>
          <w:color w:val="auto"/>
        </w:rPr>
        <w:t>SpinCo Common Stock</w:t>
      </w:r>
      <w:r>
        <w:rPr>
          <w:rFonts w:ascii="Times New Roman" w:cs="Times New Roman" w:eastAsia="Times New Roman" w:hAnsi="Times New Roman"/>
          <w:sz w:val="18"/>
          <w:szCs w:val="18"/>
          <w:color w:val="auto"/>
        </w:rPr>
        <w:t>”), on a pro rata basis in accordance with their ownership interests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accordance with the terms and conditions of this Agreement and subject to compliance with applicable Law (such distribution,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to the holders of the Company’s issued and outstanding common stock, par value $0.001 per share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Record Date, at the ratio of one (1) share of SpinCo Common Stock for every one (1) share of Company Common Stock;</w:t>
      </w:r>
    </w:p>
    <w:p>
      <w:pPr>
        <w:spacing w:after="0" w:line="207"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WHEREAS, for U.S. federal income tax purposes, it is intended that the Distribution shall be a taxable distribution by the Company to its stockholders of the SpinCo Common Stock in respect of their stock governed by Section 301 and Section 311(b) of the Code and shall not be governed by Section 355 of the Code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WHEREAS, prior to the Distribution, the Company shall, on the terms and subject to the conditions set forth in this Agreement, consummate (or cause to be consummated) the restructuring transactions in accordance with the structure and steps set forth in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 xml:space="preserve"> up to, but not including, the Distribution (which Schedule may be amended, supplemented or otherwise modified as agreed in writing by SpinCo and the Company), which will result in (A) the Company owning all of the RemainCo Assets and assuming (or retaining) all of the RemainCo Liabilities, (B) SpinCo owning all of the SpinCo Assets and assuming (or retaining) all of the SpinCo Liabilities, and (C) all actions contemplated by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be performed by their terms prior to the Distribution having been completed (the “</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and</w:t>
      </w:r>
    </w:p>
    <w:p>
      <w:pPr>
        <w:spacing w:after="0" w:line="18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WHEREAS, the Parties have determined to set forth the principal corporate and other transactions required to effect the Distribution and to set forth other agreements that will govern certain other matters prior to and following the Distribution.</w:t>
      </w:r>
    </w:p>
    <w:p>
      <w:pPr>
        <w:sectPr>
          <w:pgSz w:w="11900" w:h="16838" w:orient="portrait"/>
          <w:cols w:equalWidth="0" w:num="1">
            <w:col w:w="11020"/>
          </w:cols>
          <w:pgMar w:left="440" w:top="270" w:right="439" w:bottom="1440" w:gutter="0" w:footer="0" w:header="0"/>
        </w:sectPr>
      </w:pPr>
    </w:p>
    <w:bookmarkStart w:id="22" w:name="page23"/>
    <w:bookmarkEnd w:id="2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mutual covenants contained in this Agreement, the Parties hereby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CONSTRUCTION</w:t>
      </w:r>
    </w:p>
    <w:p>
      <w:pPr>
        <w:spacing w:after="0" w:line="229"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Unless otherwise defined herein or unless the context otherwise requires, as used in this Agreement, the following terms shall have the following meanings: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Expert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individual, partnership, corporation, entity or other Person that directly, or indirectly through one or more intermediaries, Controls, is Controlled by, or is under common Control with, the first Person specified;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avoidance of doubt, after the time of the Distribution, none of the Company or any of its respective Subsidiaries shall be deemed to be an Affiliate of SpinCo or any member of the SpinCo Group.</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means all right, title and ownership interests in and to all assets, properties, claims, information generated for the Business, Intellectual Property, Contracts and rights (including goodwill) wherever located (including in the possession of vendors or other Third Parties or elsewhere on behalf of the Person), of every kind, character and description, whether real, personal or mixed, tangible or intangible, whether accrued or contingent, in each case whether or not received, recorded or reflected or required to be recorded or reflected on the books and records or financial statements of any Person, including rights and benefits pursuant to any Contract, license, permit, indenture, note, bond, mortgage, agreement, concession, franchise, instrument, undertaking, commitment, understanding or other arrangement.</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(i) each “employee pension benefit plan” (as defined in Section 3(2)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(ii) each “employee welfare benefit plan” (as defined in Section 3(1) of ERISA) (whether or not subject to ERISA), (iii) each “employee benefit plan,” (as defined in Section 3(3) of ERISA (whether or not subject to ERISA)); and (iv) each other benefit plan, policy, program, agreement or arrangement, including but not limited to any bonus, commission, deferred compensation, severance, separation, vacation, paid time off, retention, change in control, transaction, tax gross-up, employment, offer letter, individual independent contractor or consulting, pension, profit-sharing, retirement, insurance, stock bonus, stock purchase, stock option, restricted stock, stock appreciation right, incentive or equity compensation or other equity or equity-based compensation, deferred compensation, welfare-benefit, or fringe benefit plan, program, policy, agreement, arrangement or practice sponsored, maintained, contributed to or required to be contributed to, by the Company or to which the Company is a party, for the benefit of any current or former employees, officers, directors, individual consultants or individual independent contractors of the Company, or under which the Company has or would reasonably be expected to have any liability, contingent or otherwise (in each case prior to giving effect to the Spin-Off).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23" w:name="page24"/>
    <w:bookmarkEnd w:id="2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Royalty Business or the SpinCo Business, as applicable.</w:t>
      </w:r>
    </w:p>
    <w:p>
      <w:pPr>
        <w:spacing w:after="0" w:line="225"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the principal offices of the SEC in Washington, DC are open to accept filings other than a day on which banking institutions located in New York, New York are permitted or required by Law to remain closed.</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Distribution subject to the terms and conditions of this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Part 6 of Subtitle B of Title I of ERISA, Section 4980B of the Code and any similar state Law.</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Combined Per Share Value</w:t>
      </w:r>
      <w:r>
        <w:rPr>
          <w:rFonts w:ascii="Times New Roman" w:cs="Times New Roman" w:eastAsia="Times New Roman" w:hAnsi="Times New Roman"/>
          <w:sz w:val="18"/>
          <w:szCs w:val="18"/>
          <w:color w:val="auto"/>
        </w:rPr>
        <w:t>” means the sum of RemainCo Per Share Value and the SpinCo Per Share Value.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Commingled Contract</w:t>
      </w:r>
      <w:r>
        <w:rPr>
          <w:rFonts w:ascii="Times New Roman" w:cs="Times New Roman" w:eastAsia="Times New Roman" w:hAnsi="Times New Roman"/>
          <w:sz w:val="18"/>
          <w:szCs w:val="18"/>
          <w:color w:val="auto"/>
        </w:rPr>
        <w:t>” means any Contract to which any member of the SpinCo Group or RemainCo Group is a party and relates to both</w:t>
      </w:r>
    </w:p>
    <w:p>
      <w:pPr>
        <w:spacing w:after="0" w:line="27" w:lineRule="exact"/>
        <w:rPr>
          <w:sz w:val="20"/>
          <w:szCs w:val="20"/>
          <w:color w:val="auto"/>
        </w:rPr>
      </w:pPr>
    </w:p>
    <w:p>
      <w:pPr>
        <w:ind w:left="984" w:right="280" w:hanging="984"/>
        <w:spacing w:after="0" w:line="490" w:lineRule="auto"/>
        <w:tabs>
          <w:tab w:leader="none" w:pos="2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SpinCo Business and (b) the Royalty Business, including the Contracts set forth on </w:t>
      </w:r>
      <w:r>
        <w:rPr>
          <w:rFonts w:ascii="Times New Roman" w:cs="Times New Roman" w:eastAsia="Times New Roman" w:hAnsi="Times New Roman"/>
          <w:sz w:val="18"/>
          <w:szCs w:val="18"/>
          <w:u w:val="single" w:color="auto"/>
          <w:color w:val="auto"/>
        </w:rPr>
        <w:t>Schedule H</w:t>
      </w:r>
      <w:r>
        <w:rPr>
          <w:rFonts w:ascii="Times New Roman" w:cs="Times New Roman" w:eastAsia="Times New Roman" w:hAnsi="Times New Roman"/>
          <w:sz w:val="18"/>
          <w:szCs w:val="18"/>
          <w:color w:val="auto"/>
        </w:rPr>
        <w:t>, but excluding the Vanda License Agreement.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ind w:left="984" w:right="47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of Directors</w:t>
      </w:r>
      <w:r>
        <w:rPr>
          <w:rFonts w:ascii="Times New Roman" w:cs="Times New Roman" w:eastAsia="Times New Roman" w:hAnsi="Times New Roman"/>
          <w:sz w:val="18"/>
          <w:szCs w:val="18"/>
          <w:color w:val="auto"/>
        </w:rPr>
        <w:t>” has the meaning set forth in the Recitals.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has the meaning set forth in the Recitals.</w:t>
      </w:r>
    </w:p>
    <w:p>
      <w:pPr>
        <w:spacing w:after="0" w:line="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Controlled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Indemnified Taxes</w:t>
      </w:r>
      <w:r>
        <w:rPr>
          <w:rFonts w:ascii="Times New Roman" w:cs="Times New Roman" w:eastAsia="Times New Roman" w:hAnsi="Times New Roman"/>
          <w:sz w:val="18"/>
          <w:szCs w:val="18"/>
          <w:color w:val="auto"/>
        </w:rPr>
        <w:t xml:space="preserve">” shall mean, without duplication, (i) any and all Taxes arising in respect of (x) the SpinCo Indemnifiable Pre-Closing Reorganization Steps or (y) the Distribution; (ii) any Transfer Taxes allocated to the Company under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and (iii) any Taxes of the Company or the consolidated group or other similar group filing a Consolidated Return of which the Company is or was the common parent for the Pre-Distribution Tax Period that are not SpinCo Indemnified Taxes.</w:t>
      </w:r>
    </w:p>
    <w:p>
      <w:pPr>
        <w:spacing w:after="0" w:line="180" w:lineRule="exact"/>
        <w:rPr>
          <w:sz w:val="20"/>
          <w:szCs w:val="20"/>
          <w:color w:val="auto"/>
        </w:rPr>
      </w:pPr>
    </w:p>
    <w:p>
      <w:pPr>
        <w:ind w:left="4"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Per Share Value</w:t>
      </w:r>
      <w:r>
        <w:rPr>
          <w:rFonts w:ascii="Times New Roman" w:cs="Times New Roman" w:eastAsia="Times New Roman" w:hAnsi="Times New Roman"/>
          <w:sz w:val="18"/>
          <w:szCs w:val="18"/>
          <w:color w:val="auto"/>
        </w:rPr>
        <w:t xml:space="preserve">” means the final closing price per share of Company Common Stock immediately prior to the Distribution Effective Time, as reported in the New York edition of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Prepared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24" w:name="page25"/>
    <w:bookmarkEnd w:id="24"/>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all non-public, confidential or proprietary information concerning a Party and/or its Subsidiaries or with respect to the Company, the Royalty Business, any RemainCo Assets or any RemainCo Liabilities, or with respect to SpinCo, the SpinCo Business, any SpinCo Assets or any SpinCo Liabilities, as well as all Personal Information and all Protected Health Information, which, prior to or following the Distribution, has been disclosed by a Party or its Subsidiaries to another Party or its Subsidiaries, or otherwise has come into the possession of, the other, including pursuant to the access provisions of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or any other provision of this Agreement, including any data or documentation resident, existing or otherwise provided in a database or in a storage medium, permanent or temporary, intended for confidential, proprietary and/or privileged use by a Party (except to the extent that such Confidential Information can be shown to have been (a) in the public domain or known to the public through no fault of the receiving Party or its Subsidiaries, (b) lawfully acquired by the receiving Party or its Subsidiaries from sources other than the disclosing Party or its Subsidiaries not known to be subject to confidentiality obligations with respect to such Confidential Information or</w:t>
      </w:r>
    </w:p>
    <w:p>
      <w:pPr>
        <w:spacing w:after="0" w:line="6" w:lineRule="exact"/>
        <w:rPr>
          <w:sz w:val="20"/>
          <w:szCs w:val="20"/>
          <w:color w:val="auto"/>
        </w:rPr>
      </w:pPr>
    </w:p>
    <w:p>
      <w:pPr>
        <w:ind w:left="4" w:right="400" w:hanging="4"/>
        <w:spacing w:after="0" w:line="255" w:lineRule="auto"/>
        <w:tabs>
          <w:tab w:leader="none" w:pos="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developed by the receiving Party or its Affiliates after the time of the Distribution without reference to or use of any Confidential Information). As used herein, by example and without limitation, Confidential Information shall mean any information of a Party marked as confidential, proprietary and/or privileged.</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the consent, approval, license, permit, waiver, Order or authorization of any Person.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Return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subcontract, arrangement, lease, sublease, conditional sales contract, purchase order, sales order, license, indenture, note, bond, loan, instrument, binding undertaking, commitment or other agreement or other instrument, in each case, whether written or oral. Unless the context otherwise requires, any reference to a specific Contract shall include all amendments, modifications, supplements, extensions, renewals, work orders, statements of work, change orders, task orders, quotations, quality agreements, side letters and other ancillary agreements, instruments or documents entered into under, pursuant to or in connection with such Contract.</w:t>
      </w:r>
    </w:p>
    <w:p>
      <w:pPr>
        <w:spacing w:after="0" w:line="183"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or partnership or other interests, by Contract or otherwise. A general partner or managing member of a Person will always be considered to Control such Person. The terms “Controlling” and “Controlled” and similar words have correlative meanings.</w:t>
      </w:r>
    </w:p>
    <w:p>
      <w:pPr>
        <w:spacing w:after="0" w:line="180" w:lineRule="exact"/>
        <w:rPr>
          <w:sz w:val="20"/>
          <w:szCs w:val="20"/>
          <w:color w:val="auto"/>
        </w:rPr>
      </w:pPr>
    </w:p>
    <w:p>
      <w:pPr>
        <w:ind w:left="4" w:right="10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Conveyancing and Assumption Instruments</w:t>
      </w:r>
      <w:r>
        <w:rPr>
          <w:rFonts w:ascii="Times New Roman" w:cs="Times New Roman" w:eastAsia="Times New Roman" w:hAnsi="Times New Roman"/>
          <w:sz w:val="18"/>
          <w:szCs w:val="18"/>
          <w:color w:val="auto"/>
        </w:rPr>
        <w:t>” shall mean, collectively, the various Contracts and other documents (including bills of sale, stock powers, certificates of title, assignments of Contracts, assignments of Intellectual Property, Consents (to the extent obtained), permits, easements, leases, deeds and other instruments of conveyance) entered into prior to the Distribution and to be entered into to effect the Transfer of Assets and the assumption of Liabilities in the manner contemplated by this Agreement and the Distribution, or otherwise relating to, arising out of or resulting from the Transfer of Assets and/or assumption of Liabilities between members of two Groups, in substantially the form to be effected pursuant to Delaware Law, the Laws of one of the other states of the United States or the Laws of foreign jurisdictions, and in such form as the applicable parties agree or, if not appropriate for a given Transfer or assumption, in such form or forms as the applicable parties thereto agree (but taking into account any requirements of applicable Law) including to record or register transfer of title in each applicable jurisdiction, which shall be on an “as is,” “where is,” and “with all faults” basis.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25" w:name="page26"/>
    <w:bookmarkEnd w:id="25"/>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means works of authorship (whether or not copyrightable, including all Software, whether in source code or object code format) and all copyrights (whether or not registered), including all registrations thereof and applications therefor, and all renewals, extensions, restorations and reversions of the foregoing.</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Employee</w:t>
      </w:r>
      <w:r>
        <w:rPr>
          <w:rFonts w:ascii="Times New Roman" w:cs="Times New Roman" w:eastAsia="Times New Roman" w:hAnsi="Times New Roman"/>
          <w:sz w:val="18"/>
          <w:szCs w:val="18"/>
          <w:color w:val="auto"/>
        </w:rPr>
        <w:t>” means, with respect to a Person, any individual who is actively employed by such Person or on a short-term leave of absence (including maternity, paternity, family, sick or short-term disability leave, qualified military service under the Uniformed Services Employment and Reemployment Rights Act of 1994, and leave under the Family Medical Leave Act and other approved leave but excluding, for the avoidance of doubt, any individual who is on a long-term leave of absence pursuant to a long-term disability Benefit Plan).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Asset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Liability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means the day on which the Distribution is effected.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Effective Time</w:t>
      </w:r>
      <w:r>
        <w:rPr>
          <w:rFonts w:ascii="Times New Roman" w:cs="Times New Roman" w:eastAsia="Times New Roman" w:hAnsi="Times New Roman"/>
          <w:sz w:val="18"/>
          <w:szCs w:val="18"/>
          <w:color w:val="auto"/>
        </w:rPr>
        <w:t>” means the time, on the Distribution Date, that the Company effects the Distribution.</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Ratio</w:t>
      </w:r>
      <w:r>
        <w:rPr>
          <w:rFonts w:ascii="Times New Roman" w:cs="Times New Roman" w:eastAsia="Times New Roman" w:hAnsi="Times New Roman"/>
          <w:sz w:val="18"/>
          <w:szCs w:val="18"/>
          <w:color w:val="auto"/>
        </w:rPr>
        <w:t>” means the ratio of the number of shares of SpinCo Common Stock received for every share of Company Common Stock in the Distribution.</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Record Date</w:t>
      </w:r>
      <w:r>
        <w:rPr>
          <w:rFonts w:ascii="Times New Roman" w:cs="Times New Roman" w:eastAsia="Times New Roman" w:hAnsi="Times New Roman"/>
          <w:sz w:val="18"/>
          <w:szCs w:val="18"/>
          <w:color w:val="auto"/>
        </w:rPr>
        <w:t>” means such date as may be determined by the Company Board of Directors or a committee of the Company Board of Directors, as the record date for the Distribution.</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relating to pollution or the protection or preservation of human health or safety or the environment (including occupational), including Laws relating to emissions, discharges, releases or threatened releases of Hazardous Materials, or otherwise relating to the manufacture, processing, distribution, use, treatment, storage, disposal, registration, labeling, or other handling of Hazardous Materials or products containing Hazardous Materials.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26" w:name="page27"/>
    <w:bookmarkEnd w:id="2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court, nation, government, agency, any state or other political subdivision thereof, any entity exercising executive, legislative, judicial, regulatory or administrative functions of, or pertaining to or on behalf of, government and NASDAQ (or other securities exchange).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the RemainCo Group or the SpinCo Group, as applicable.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material (including biological material), substance, chemical or waste (or combination thereof) that</w:t>
      </w:r>
    </w:p>
    <w:p>
      <w:pPr>
        <w:spacing w:after="0" w:line="27" w:lineRule="exact"/>
        <w:rPr>
          <w:sz w:val="20"/>
          <w:szCs w:val="20"/>
          <w:color w:val="auto"/>
        </w:rPr>
      </w:pPr>
    </w:p>
    <w:p>
      <w:pPr>
        <w:jc w:val="both"/>
        <w:ind w:left="4" w:hanging="4"/>
        <w:spacing w:after="0" w:line="255"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listed, defined, designated, regulated or classified as hazardous, toxic, radioactive, dangerous, a pollutant, a contaminant, a substance of concern or words of similar effect under any Environmental Law, including petroleum, oil, PFAS or PFOS or (b) for which standards of care have been established under any Environmental Law.</w:t>
      </w:r>
    </w:p>
    <w:p>
      <w:pPr>
        <w:spacing w:after="0" w:line="186"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Healthcare Laws</w:t>
      </w:r>
      <w:r>
        <w:rPr>
          <w:rFonts w:ascii="Times New Roman" w:cs="Times New Roman" w:eastAsia="Times New Roman" w:hAnsi="Times New Roman"/>
          <w:sz w:val="17"/>
          <w:szCs w:val="17"/>
          <w:color w:val="auto"/>
        </w:rPr>
        <w:t>” means, to the extent related to the conduct of the Company’s, as applicable, (a) all federal and state fraud and abuse Laws, including, the federal Anti-Kickback Statute (42 U.S.C. § 1320a-7b(b)), the Stark Law (42 U.S.C. § 1395nn), the civil False Claims Act (31 U.S.C. § 3729 et seq.), the criminal False Claims Law (42 U.S.C. § 1320a-7b(a)), and the regulations promulgated pursuant to such statutes; (b) the administrative simplification provisions of the Health Insurance Portability and Accountability Act of 1996 (18 U.S.C. §§ 669, 1035, 1347 and 1518; 42 U.S.C. § 1320d et seq.) and the regulations promulgated thereunder; (c) Titles XVIII (42 U.S.C. § 1395 et seq.) and XIX (42 U.S.C. § 1396 et seq.) of the Social Security Act and the regulations promulgated thereunder; (d) the Medicare Prescription Drug, Improvement, and Modernization Act of 2003 (42 U.S.C. § 1395w-101 et seq.) and the regulations promulgated thereunder; (e) the Physician Payments Sunshine Act (42 U.S.C. § 1320a-7h) and state or local Laws regulating or requiring reporting of interactions between pharmaceutical manufacturers and members of the healthcare industry and regulations promulgated thereunder; (f) Laws governing government pricing or price reporting programs and regulations promulgated thereunder, including the Medicaid Drug Rebate Program (42 U.S.C. § 1396r-8) and any state supplemental rebate program, the Public Health Service Act (42 U.S.C. § 256b), the VA Federal Supply Schedule (38 U.S.C. § 8126) or any state pharmaceutical assistance program or U.S. Department of Veterans Affairs agreement, and any successor government programs; (g) the Federal Food, Drug and Cosmetic Act, 21 U.S.C. §§ 301 et seq., and all regulations, agency guidance or similar legal requirements promulgated thereunder; (h) the Public Health Service Act, 42 U.S.C. § 262; and (i) any and all other healthcare Laws and regulations from any domestic or international jurisdiction applicable to the Company or affecting their respective businesses.</w:t>
      </w:r>
    </w:p>
    <w:p>
      <w:pPr>
        <w:spacing w:after="0" w:line="1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Plans</w:t>
      </w:r>
      <w:r>
        <w:rPr>
          <w:rFonts w:ascii="Times New Roman" w:cs="Times New Roman" w:eastAsia="Times New Roman" w:hAnsi="Times New Roman"/>
          <w:sz w:val="18"/>
          <w:szCs w:val="18"/>
          <w:color w:val="auto"/>
        </w:rPr>
        <w:t>” means the Company’s Amended and Restated 2017 Equity Incentive Plan.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Information Statement</w:t>
      </w:r>
      <w:r>
        <w:rPr>
          <w:rFonts w:ascii="Times New Roman" w:cs="Times New Roman" w:eastAsia="Times New Roman" w:hAnsi="Times New Roman"/>
          <w:sz w:val="17"/>
          <w:szCs w:val="17"/>
          <w:color w:val="auto"/>
        </w:rPr>
        <w:t>” means the Information Statement filed with the SEC as an exhibit to the Spin-Off Registration Statement and made available to the holders of Company Common Stock in connection with the Distribution, including any amendments or supplements thereto.</w:t>
      </w:r>
    </w:p>
    <w:p>
      <w:pPr>
        <w:spacing w:after="0" w:line="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27" w:name="page28"/>
    <w:bookmarkEnd w:id="27"/>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rights, title and interests in and to all intellectual property rights and intangible industrial property rights of every kind and nature however denominated, throughout the world, and all related priority rights protected, created or arising under the Laws of the United States or any other jurisdiction or under any international convention, including (a) all Patents, Trademarks, Copyrights, Trade Secrets, Know-How and Software, (b) internet domain names and social media designations, (c) all copies of tangible embodiments of the foregoing (in whatever form or medium) and any rights equivalent to any of the foregoing anywhere in the world, (d) all royalties, fees, income, payments and other proceeds now or hereafter due or payable with respect to any of the foregoing, (e) any and all registrations, applications, recordings, licenses, common-law rights, statutory rights, administrative rights, and contractual rights relating to any of the foregoing, and (f) all claims and causes of action, with respect to any of the foregoing, whether accruing before, on or after the date of this Agreement, including all rights to and claims for damages, restitution and injunctive relief for infringement, dilution, misappropriation, violation, misuse, breach or default, with the right but not the obligation to sue for such legal and equitable relief, and to collect, or otherwise recover, any such damages, including costs and attorney’s fees.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hardware, servers, databases, Software, networks, telecommunications systems, websites, computer equipment, interfaces, platforms, systems, other information technology and related infrastructure.</w:t>
      </w:r>
    </w:p>
    <w:p>
      <w:pPr>
        <w:spacing w:after="0" w:line="16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any data, results, and information of any type whatsoever, in any tangible or intangible form, including practices, techniques, methods, processes, inventions, discoveries, developments, specifications, formulations, formulae, articles of manufacture, materials (including biological or chemical) or compositions of matter (including cell lines) of any type or kind, marketing reports, pricing and distribution costs, forecasts, strategies, plans, clinical and non-clinical study reports, regulatory submission documents and summaries, expertise, stability, test data including pharmacological, biological, chemical, biochemical, toxicological, and clinical test data, analytical and quality control data, stability data, studies and procedures, dosage regimens; in each case, whether or not patentable or copyrightable.</w:t>
      </w:r>
    </w:p>
    <w:p>
      <w:pPr>
        <w:spacing w:after="0" w:line="18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domestic, federal, state, municipal, local, national, supranational, foreign or other statute, law (whether statutory or common law), constitution, code, ordinance, rule, administrative interpretation, regulation, Order, writ, judgment, decree, license, permit or any other legal requirement of any Governmental Authority, and, for the sake of clarity, includes Healthcare Laws and Environmental Laws.</w:t>
      </w:r>
    </w:p>
    <w:p>
      <w:pPr>
        <w:spacing w:after="0" w:line="176"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and all debts, guarantees, assurances, commitments, losses, remediation, deficiencies, penalties, settlements, sanctions, costs, expenses, interest and obligations, whether accrued or fixed, absolute or contingent, matured or unmatured, known or unknown, reserved or unreserved, or determined or determinable, including those arising under any Law (including Environmental Law), Proceeding, whether asserted or unasserted, or</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28" w:name="page29"/>
    <w:bookmarkEnd w:id="28"/>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order, writ, judgment, injunction, decree, stipulation, determination or award entered by or with any Governmental Authority and those arising under any Contract, agreement, obligation, indenture, instrument, lease, promise, arrangement, release, warranty, commitment or undertaking or any fines, damages or equitable relief which may be imposed and including all costs and expenses related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Liable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restrictive covenant, charge, security interest, claim, mortgage, pledge, hypothecation, encumbrance, deed of trust, lease, option, easement, servitude, proxy, voting or trust agreement, subscription right, right of first offer, right of first refusal, preemptive right or similar agreement, encumbrance or restriction of any nature (including any restriction on the voting of any security, any restriction on the transfer of any security or other asset, or any restriction on the possession, exercise or transfer of any other attribute of ownership of any asset).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Linked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means all losses, damages, claims, demands, payments, penalties, judgments or settlements, including all reasonable costs and expenses (including the costs and expenses of any and all Proceedings and demands, assessments, judgments, settlements and compromises relating thereto and the reasonable and documented costs and expenses of attorneys’, accountants’, consultants’ and other professionals’ fees and expenses incurred in the investigation or defense thereof or the enforcement of rights hereunder) relating thereto, suffered by an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Losses shall not include any special, consequential, reputational, indirect or punitive damages (other than special, consequential, indirect, reputational and/or punitive damages (i) awarded by a court of competent jurisdiction in connection with a Third Party Claim and/or (ii) that are, in the case of special, consequential or indirect damages, a reasonable foreseeable result of the relevant breach).</w:t>
      </w:r>
    </w:p>
    <w:p>
      <w:pPr>
        <w:spacing w:after="0" w:line="189"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National Securities Exchange</w:t>
      </w:r>
      <w:r>
        <w:rPr>
          <w:rFonts w:ascii="Times New Roman" w:cs="Times New Roman" w:eastAsia="Times New Roman" w:hAnsi="Times New Roman"/>
          <w:sz w:val="18"/>
          <w:szCs w:val="18"/>
          <w:color w:val="auto"/>
        </w:rPr>
        <w:t>” means a securities exchange that has registered with the SEC under Section 6 of the Exchange Act, including the New York Stock Exchange, the Nasdaq Global Select Market, the Nasdaq Global Market and the Nasdaq Capital Market.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RemainCo Subsidiary</w:t>
      </w:r>
      <w:r>
        <w:rPr>
          <w:rFonts w:ascii="Times New Roman" w:cs="Times New Roman" w:eastAsia="Times New Roman" w:hAnsi="Times New Roman"/>
          <w:sz w:val="18"/>
          <w:szCs w:val="18"/>
          <w:color w:val="auto"/>
        </w:rPr>
        <w:t>” has the meaning set forth in the definition of “RemainCo Group.”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settlement, consent, stipulation, judgment, ruling, injunction, writ, award, temporary restraining order or other order in any Proceeding made, rendered or entered into by or with any Governmental Authority or arbitrator (in each case, whether temporary, preliminary or permanent).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have the meaning set forth in the Preamble.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29" w:name="page30"/>
    <w:bookmarkEnd w:id="29"/>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patents, registrations, invention disclosures, and patent applications, including divisionals, provisionals, continuations, continuations-in-part, renewals, supplementary protection certificates, extensions, reissues and reexaminations thereof, and all patents that may issue on such applications.</w:t>
      </w:r>
    </w:p>
    <w:p>
      <w:pPr>
        <w:spacing w:after="0" w:line="176" w:lineRule="exact"/>
        <w:rPr>
          <w:sz w:val="20"/>
          <w:szCs w:val="20"/>
          <w:color w:val="auto"/>
        </w:rPr>
      </w:pPr>
    </w:p>
    <w:p>
      <w:pPr>
        <w:ind w:left="4" w:right="16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means (a) Liens for Taxes (i) that are not yet delinquent or (ii) the amount and/or validity of which are being contested in good faith and by appropriate Proceedings and for which appropriate reserves are established in the financial statements in accordance with GAAP,</w:t>
      </w:r>
    </w:p>
    <w:p>
      <w:pPr>
        <w:spacing w:after="0" w:line="1" w:lineRule="exact"/>
        <w:rPr>
          <w:sz w:val="20"/>
          <w:szCs w:val="20"/>
          <w:color w:val="auto"/>
        </w:rPr>
      </w:pPr>
    </w:p>
    <w:p>
      <w:pPr>
        <w:ind w:left="4" w:right="20" w:hanging="4"/>
        <w:spacing w:after="0" w:line="265" w:lineRule="auto"/>
        <w:tabs>
          <w:tab w:leader="none" w:pos="25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representing the rights of customers, suppliers and subcontractors arising in the ordinary course of business under the terms of any Contracts to which the relevant party is part or by operation of Law (including mechanics’, materialmen’s, carriers’, workmen’s, warehouseman’s, repairers’, landlords’, contractors’, subcontractors’, suppliers’ or other similar Liens arising or incurred in the ordinary course of business in respect of the construction, maintenance, repair or operation of assets for amounts that are not delinquent and that are not, individually or in the aggregate, significant),</w:t>
      </w:r>
    </w:p>
    <w:p>
      <w:pPr>
        <w:ind w:left="4" w:right="40" w:hanging="4"/>
        <w:spacing w:after="0" w:line="252"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equipment leases with third Persons entered into in the ordinary course of business, (d) any other Liens if the underlying obligations are non-monetary, incurred in the ordinary course of business and do not, individually or in the aggregate, materially impair the continued use and operation of the assets of the Company to which they relate in the conduct of the business of the Company as currently conducted, (e) Liens with respect to real property, zoning regulations, building codes and other land use regulations or similar Laws imposed by any Governmental Authority (excluding Liens imposed by Environmental Laws related to the investigation or remediation of contaminated real property), to the extent not violated by the Company’s current use of such real property and (f) non-exclusive licenses of Intellectual Property rights granted by the Company in the ordinary course of business.</w:t>
      </w:r>
    </w:p>
    <w:p>
      <w:pPr>
        <w:spacing w:after="0" w:line="188" w:lineRule="exact"/>
        <w:rPr>
          <w:sz w:val="20"/>
          <w:szCs w:val="20"/>
          <w:color w:val="auto"/>
        </w:rPr>
      </w:pPr>
    </w:p>
    <w:p>
      <w:pPr>
        <w:ind w:left="4" w:right="5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(including any nonprofit corporation), limited liability company, general or limited partnership, limited liability partnership, association, joint venture, estate, trust, company (including any company limited by shares or joint stock company), firm, society, or any other enterprise, association, entity or organization, including a Governmental Authority.</w:t>
      </w:r>
    </w:p>
    <w:p>
      <w:pPr>
        <w:spacing w:after="0" w:line="176"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or data in any media that, alone or in combination with other information, (i) can be used to identify a natural person or (ii) constitutes “personal information,” “personal data,” “personally identifiable information” or any other equivalent term as defined under applicable Law.</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Matter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Representation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Reorganization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Pre-Distribution Tax Period</w:t>
      </w:r>
      <w:r>
        <w:rPr>
          <w:rFonts w:ascii="Times New Roman" w:cs="Times New Roman" w:eastAsia="Times New Roman" w:hAnsi="Times New Roman"/>
          <w:sz w:val="18"/>
          <w:szCs w:val="18"/>
          <w:color w:val="auto"/>
        </w:rPr>
        <w:t>” means any Tax period ending on or before the Distribution Date and the portion of any Straddle Tax Period that ends on the Distribution Date.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Company Counsel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6.6(i)</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30" w:name="page31"/>
    <w:bookmarkEnd w:id="30"/>
    <w:p>
      <w:pPr>
        <w:jc w:val="both"/>
        <w:ind w:right="24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Privacy Obligations</w:t>
      </w:r>
      <w:r>
        <w:rPr>
          <w:rFonts w:ascii="Times New Roman" w:cs="Times New Roman" w:eastAsia="Times New Roman" w:hAnsi="Times New Roman"/>
          <w:sz w:val="17"/>
          <w:szCs w:val="17"/>
          <w:color w:val="auto"/>
        </w:rPr>
        <w:t>” means all applicable (i) Laws, (ii) contractual obligations and (iii) publicly posted privacy policies to which the Company is subject that are related to privacy, patient confidentiality, information security, data protection or the Processing of Personal Information.</w:t>
      </w:r>
    </w:p>
    <w:p>
      <w:pPr>
        <w:spacing w:after="0" w:line="140"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Information</w:t>
      </w:r>
      <w:r>
        <w:rPr>
          <w:rFonts w:ascii="Times New Roman" w:cs="Times New Roman" w:eastAsia="Times New Roman" w:hAnsi="Times New Roman"/>
          <w:sz w:val="18"/>
          <w:szCs w:val="18"/>
          <w:color w:val="auto"/>
        </w:rPr>
        <w:t>” means all information subject to the privileges, immunities or other protections from disclosure which may be asserted under applicable Law, including attorney-client privilege, business strategy privilege, joint defense privilege, common interest privilege, and protection under the work-product doctrine.</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legal, civil, criminal, administrative, regulatory, arbitral, mediatory, enforcement, civil penalty, alternative dispute resolution, examination, debarment, seizure or other proceeding, litigation, suit, action, charge, complaint, subpoena, prosecution, claim, audit, assessment, inquiry or investigation commenced, brought, conducted or heard by or before, or otherwise involving, any court or other Governmental Authority or any arbitrator or arbitration panel.</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means any operation or set of operations that is performed upon data or information in the possession, custody or Control of the Company, or any of their respective vendors that Process Personal Information on their behalf and in their service to the Company, whether or not by automatic means, including collection, access, acquisition, creation, derivation, recordation, organization, storage, adaptation, alteration, correction, retrieval, maintenance, consultation, use, disclosure, dissemination, transmission, transfer, making available, alignment, combination, blocking, storage, retention, deleting, erasure, or destruction.</w:t>
      </w:r>
    </w:p>
    <w:p>
      <w:pPr>
        <w:spacing w:after="0" w:line="183"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Protected Health Information</w:t>
      </w:r>
      <w:r>
        <w:rPr>
          <w:rFonts w:ascii="Times New Roman" w:cs="Times New Roman" w:eastAsia="Times New Roman" w:hAnsi="Times New Roman"/>
          <w:sz w:val="18"/>
          <w:szCs w:val="18"/>
          <w:color w:val="auto"/>
        </w:rPr>
        <w:t>” means all individually identifiable health information in any form or media, as defined by HIPAA and its implementing regulations as of the date 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means all real property leases of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means Patents, Trademarks, Copyrights and domain names that are issued by, registered with, renewed by or the subject of a pending application before any Governmental Authority or internet domain name registrar.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w:t>
      </w:r>
      <w:r>
        <w:rPr>
          <w:rFonts w:ascii="Times New Roman" w:cs="Times New Roman" w:eastAsia="Times New Roman" w:hAnsi="Times New Roman"/>
          <w:sz w:val="18"/>
          <w:szCs w:val="18"/>
          <w:color w:val="auto"/>
        </w:rPr>
        <w:t>” means the Company after the Distribution Effective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Accounts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Assets</w:t>
      </w:r>
      <w:r>
        <w:rPr>
          <w:rFonts w:ascii="Times New Roman" w:cs="Times New Roman" w:eastAsia="Times New Roman" w:hAnsi="Times New Roman"/>
          <w:sz w:val="18"/>
          <w:szCs w:val="18"/>
          <w:color w:val="auto"/>
        </w:rPr>
        <w:t xml:space="preserve">” means any and all right, title and interest in and to the following Assets: (a) (i) the RemainCo Names and Marks and any goodwill and common law rights thereto, (ii) the Registered Intellectual Property set forth on </w:t>
      </w:r>
      <w:r>
        <w:rPr>
          <w:rFonts w:ascii="Times New Roman" w:cs="Times New Roman" w:eastAsia="Times New Roman" w:hAnsi="Times New Roman"/>
          <w:sz w:val="18"/>
          <w:szCs w:val="18"/>
          <w:u w:val="single" w:color="auto"/>
          <w:color w:val="auto"/>
        </w:rPr>
        <w:t>Schedule A-1</w:t>
      </w:r>
      <w:r>
        <w:rPr>
          <w:rFonts w:ascii="Times New Roman" w:cs="Times New Roman" w:eastAsia="Times New Roman" w:hAnsi="Times New Roman"/>
          <w:sz w:val="18"/>
          <w:szCs w:val="18"/>
          <w:color w:val="auto"/>
        </w:rPr>
        <w:t xml:space="preserve"> and (iii) all other Intellectual Property (other than Registered Intellectual Property) primarily related to the Royalty Business ((i) - (iii) collectively, the “</w:t>
      </w:r>
      <w:r>
        <w:rPr>
          <w:rFonts w:ascii="Times New Roman" w:cs="Times New Roman" w:eastAsia="Times New Roman" w:hAnsi="Times New Roman"/>
          <w:sz w:val="18"/>
          <w:szCs w:val="18"/>
          <w:u w:val="single" w:color="auto"/>
          <w:color w:val="auto"/>
        </w:rPr>
        <w:t>RemainCo Intellectual Property</w:t>
      </w:r>
      <w:r>
        <w:rPr>
          <w:rFonts w:ascii="Times New Roman" w:cs="Times New Roman" w:eastAsia="Times New Roman" w:hAnsi="Times New Roman"/>
          <w:sz w:val="18"/>
          <w:szCs w:val="18"/>
          <w:color w:val="auto"/>
        </w:rPr>
        <w:t>”); (b) all licenses, permits, registrations, approvals and authorizations which have been issued by any Governmental Authority primarily related to the Royalty Business (“</w:t>
      </w:r>
      <w:r>
        <w:rPr>
          <w:rFonts w:ascii="Times New Roman" w:cs="Times New Roman" w:eastAsia="Times New Roman" w:hAnsi="Times New Roman"/>
          <w:sz w:val="18"/>
          <w:szCs w:val="18"/>
          <w:u w:val="single" w:color="auto"/>
          <w:color w:val="auto"/>
        </w:rPr>
        <w:t>RemainCo Permits</w:t>
      </w:r>
      <w:r>
        <w:rPr>
          <w:rFonts w:ascii="Times New Roman" w:cs="Times New Roman" w:eastAsia="Times New Roman" w:hAnsi="Times New Roman"/>
          <w:sz w:val="18"/>
          <w:szCs w:val="18"/>
          <w:color w:val="auto"/>
        </w:rPr>
        <w:t>”); (c) all deposits, letters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31" w:name="page32"/>
    <w:bookmarkEnd w:id="3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credit, prepaid expenses, trade accounts and other accounts primarily related to the Royalty Business; (d) all inventories of clinical products, goods, materials, parts, raw materials and clinical supplies primarily related to the Royalty Business; (e) all cost information, sales and pricing data, customer prospect lists, supplier records, customer and supplier lists, customer and vendor data, correspondence and lists, product data and literature, artwork, design, development and business process files and data, vendor and customer drawings, specifications, quality records and reports and other books, records, studies, surveys, reports, plans and documents and any other confidential or proprietary information, in each case, to the extent primarily related to the Royalty Business; (f) any Contracts (A) primarily related to the Royalty Business, including the Contracts set forth on </w:t>
      </w:r>
      <w:r>
        <w:rPr>
          <w:rFonts w:ascii="Times New Roman" w:cs="Times New Roman" w:eastAsia="Times New Roman" w:hAnsi="Times New Roman"/>
          <w:sz w:val="18"/>
          <w:szCs w:val="18"/>
          <w:u w:val="single" w:color="auto"/>
          <w:color w:val="auto"/>
        </w:rPr>
        <w:t>Schedule A-2(a)</w:t>
      </w:r>
      <w:r>
        <w:rPr>
          <w:rFonts w:ascii="Times New Roman" w:cs="Times New Roman" w:eastAsia="Times New Roman" w:hAnsi="Times New Roman"/>
          <w:sz w:val="18"/>
          <w:szCs w:val="18"/>
          <w:color w:val="auto"/>
        </w:rPr>
        <w:t xml:space="preserve"> but excluding any Contracts relating to Software or IT Systems and (B) the Commingled Contracts (including the Commingled Contracts set forth on </w:t>
      </w:r>
      <w:r>
        <w:rPr>
          <w:rFonts w:ascii="Times New Roman" w:cs="Times New Roman" w:eastAsia="Times New Roman" w:hAnsi="Times New Roman"/>
          <w:sz w:val="18"/>
          <w:szCs w:val="18"/>
          <w:u w:val="single" w:color="auto"/>
          <w:color w:val="auto"/>
        </w:rPr>
        <w:t>Schedule A-2(b))</w:t>
      </w:r>
      <w:r>
        <w:rPr>
          <w:rFonts w:ascii="Times New Roman" w:cs="Times New Roman" w:eastAsia="Times New Roman" w:hAnsi="Times New Roman"/>
          <w:sz w:val="18"/>
          <w:szCs w:val="18"/>
          <w:color w:val="auto"/>
        </w:rPr>
        <w:t xml:space="preserve">, and, in each case, all rights and obligations and other Liabilities (whether accrued or contingent) arising under any such Contracts, other than any such rights, obligations and other Liabilities primarily related to the SpinCo Business; (g) all rights under insurance policies and all rights in the nature of insurance, indemnification or contribution primarily related to the Royalty Business, including the insurance policies set forth on </w:t>
      </w:r>
      <w:r>
        <w:rPr>
          <w:rFonts w:ascii="Times New Roman" w:cs="Times New Roman" w:eastAsia="Times New Roman" w:hAnsi="Times New Roman"/>
          <w:sz w:val="18"/>
          <w:szCs w:val="18"/>
          <w:u w:val="single" w:color="auto"/>
          <w:color w:val="auto"/>
        </w:rPr>
        <w:t>Schedule A-3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Agreement does not purport to Transfer ownership of any of the insurance policies of any member of the RemainCo Group or the SpinCo Group; (h) any other Assets (other than Intellectual Property) that are owned, leased or licensed, at the Distribution Effective Time, that are primarily related to the Royalty Business; and (i) any goodwill related to the Royalty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RemainCo Assets will exclude (A) all bank or brokerage accounts to which a member of the SpinCo Group acts as legal custodian, including the accounts listed on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 and any cash or cash equivalents of SpinCo contained therein as of the Distribution Effective Time other than one banking account to be designated by the Company; (B) all Assets that are acquired or otherwise become an Asset of the SpinCo Group after the Distribution Effective Time and (C) any and all rights to receive the Vanda Milestones.</w:t>
      </w:r>
    </w:p>
    <w:p>
      <w:pPr>
        <w:spacing w:after="0" w:line="193" w:lineRule="exact"/>
        <w:rPr>
          <w:sz w:val="20"/>
          <w:szCs w:val="20"/>
          <w:color w:val="auto"/>
        </w:rPr>
      </w:pPr>
    </w:p>
    <w:p>
      <w:pPr>
        <w:jc w:val="both"/>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Group</w:t>
      </w:r>
      <w:r>
        <w:rPr>
          <w:rFonts w:ascii="Times New Roman" w:cs="Times New Roman" w:eastAsia="Times New Roman" w:hAnsi="Times New Roman"/>
          <w:sz w:val="18"/>
          <w:szCs w:val="18"/>
          <w:color w:val="auto"/>
        </w:rPr>
        <w:t>” means the Company (or, after effectiveness of the Distribution, RemainCo), each Person (other than any member of the SpinCo Group) that is a Subsidiary of the Company immediately after the Distribution and each Person that becomes a Subsidiary of the Company following the date of this Agreement but prior to the Distribution that SpinCo and the Company mutually agree is a member of the RemainCo Group (a “</w:t>
      </w:r>
      <w:r>
        <w:rPr>
          <w:rFonts w:ascii="Times New Roman" w:cs="Times New Roman" w:eastAsia="Times New Roman" w:hAnsi="Times New Roman"/>
          <w:sz w:val="18"/>
          <w:szCs w:val="18"/>
          <w:u w:val="single" w:color="auto"/>
          <w:color w:val="auto"/>
        </w:rPr>
        <w:t>New RemainCo Subsidiary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Indemnitees</w:t>
      </w:r>
      <w:r>
        <w:rPr>
          <w:rFonts w:ascii="Times New Roman" w:cs="Times New Roman" w:eastAsia="Times New Roman" w:hAnsi="Times New Roman"/>
          <w:sz w:val="18"/>
          <w:szCs w:val="18"/>
          <w:color w:val="auto"/>
        </w:rPr>
        <w:t>” means: (i) the Company and each Affiliate thereof after giving effect to the Distribution; and (ii) each of the respective directors, officers, employees and agents of any of the entities described in the immediately preceding clause (i), in each case, in their capacity as such, and each of the heirs, executors, successors and assigns of any of the foregoing, except in the case of clauses (i) and (ii), the SpinCo Indemnitees.</w:t>
      </w:r>
    </w:p>
    <w:p>
      <w:pPr>
        <w:spacing w:after="0" w:line="180"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Liabilities</w:t>
      </w:r>
      <w:r>
        <w:rPr>
          <w:rFonts w:ascii="Times New Roman" w:cs="Times New Roman" w:eastAsia="Times New Roman" w:hAnsi="Times New Roman"/>
          <w:sz w:val="18"/>
          <w:szCs w:val="18"/>
          <w:color w:val="auto"/>
        </w:rPr>
        <w:t>” means all Liabilities to the extent arising out of or resulting from: (i) any RemainCo Assets (other than Liabilities arising out of or resulting from (x) the SpinCo Shared Contracts or (y) any Commingled Contracts, in each case, to the extent attributable to periods after the Distribution Effective Time and arising out of or resulting from the ownership or operation of any business conducted by SpinCo or any member of the SpinCo Group); (ii) the ownership or operation of any business conducted by the Company or any of its Subsidiaries (including any discontinued business or any business which has been sold or transferred, including the SpinCo Assets) at any time at or prior to the Distribution Effective Time; (iii) the ownership</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2" w:name="page33"/>
    <w:bookmarkEnd w:id="32"/>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operation of any business conducted by the Company (including the Royalty Business) or any member of the RemainCo Group at any time on or after the Distribution Effective Time; (iv) any expenses allocated to RemainCo pursuant to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(v) any Liabilities allocated to the Company or any member of the RemainCo Group pursuant to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including the portion of any annual bonuses attributable to the period prior to the Distribution Date; (vi) any early termination of any of the Real Property Leases (any such Liability, a “</w:t>
      </w:r>
      <w:r>
        <w:rPr>
          <w:rFonts w:ascii="Times New Roman" w:cs="Times New Roman" w:eastAsia="Times New Roman" w:hAnsi="Times New Roman"/>
          <w:sz w:val="17"/>
          <w:szCs w:val="17"/>
          <w:u w:val="single" w:color="auto"/>
          <w:color w:val="auto"/>
        </w:rPr>
        <w:t>Lease Termination Fee</w:t>
      </w:r>
      <w:r>
        <w:rPr>
          <w:rFonts w:ascii="Times New Roman" w:cs="Times New Roman" w:eastAsia="Times New Roman" w:hAnsi="Times New Roman"/>
          <w:sz w:val="17"/>
          <w:szCs w:val="17"/>
          <w:color w:val="auto"/>
        </w:rPr>
        <w:t xml:space="preserve">”); and (vii) any agreements or obligations, following the Closing, of any member of the RemainCo Group, under this Agreement or the Transition Services Agreement, including the Liabilities set forth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For the avoidance of doubt, the RemainCo Liabilities shall not include any Liabilities that are expressly contemplated by this Agreement (or the Schedules hereto) as SpinCo Liabilities or any Liabilities to the extent arising out of or resulting from: (A) any agreements or obligations of any member of the SpinCo Group under this Agreement or the Transition Services Agreement; (B) any requirement or obligation imposed under applicable Law with respect to the operation or condition of any SpinCo Asset after the Distribution Effective Time; (C) the violation, after the Distribution Effective Time, of any SpinCo Permits issued under Environmental Law; or (D) the storage, disposal, generation, shipment or other management of Hazardous Materials in connection with the business conducted by SpinCo or any member of the SpinCo Group to the extent attributable to periods after the Distribution Effective Time. For the avoidance of doubt, any liabilities with respect to Taxes (other than employment Taxes relating to the SpinCo Employees as contemplated by clause (iv) of the definition of “SpinCo Liabilities”) shall be governed by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Names and Marks</w:t>
      </w:r>
      <w:r>
        <w:rPr>
          <w:rFonts w:ascii="Times New Roman" w:cs="Times New Roman" w:eastAsia="Times New Roman" w:hAnsi="Times New Roman"/>
          <w:sz w:val="18"/>
          <w:szCs w:val="18"/>
          <w:color w:val="auto"/>
        </w:rPr>
        <w:t>” means the name “AnaptysBio” or any derivative or variation thereof, and any Trademarks associated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name.</w:t>
      </w:r>
    </w:p>
    <w:p>
      <w:pPr>
        <w:spacing w:after="0" w:line="207"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Per Share Value</w:t>
      </w:r>
      <w:r>
        <w:rPr>
          <w:rFonts w:ascii="Times New Roman" w:cs="Times New Roman" w:eastAsia="Times New Roman" w:hAnsi="Times New Roman"/>
          <w:sz w:val="18"/>
          <w:szCs w:val="18"/>
          <w:color w:val="auto"/>
        </w:rPr>
        <w:t xml:space="preserve">” means the first closing price per share of Company Common Stock following the Distribution Effective Time, as reported in the New York edition of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Permits</w:t>
      </w:r>
      <w:r>
        <w:rPr>
          <w:rFonts w:ascii="Times New Roman" w:cs="Times New Roman" w:eastAsia="Times New Roman" w:hAnsi="Times New Roman"/>
          <w:sz w:val="18"/>
          <w:szCs w:val="18"/>
          <w:color w:val="auto"/>
        </w:rPr>
        <w:t>” shall have the meaning set forth in the definition of “RemainCo Assets.”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Plans</w:t>
      </w:r>
      <w:r>
        <w:rPr>
          <w:rFonts w:ascii="Times New Roman" w:cs="Times New Roman" w:eastAsia="Times New Roman" w:hAnsi="Times New Roman"/>
          <w:sz w:val="18"/>
          <w:szCs w:val="18"/>
          <w:color w:val="auto"/>
        </w:rPr>
        <w:t xml:space="preserve">” means the Incentive Plans and any other plans or agreements set forth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Shared IP</w:t>
      </w:r>
      <w:r>
        <w:rPr>
          <w:rFonts w:ascii="Times New Roman" w:cs="Times New Roman" w:eastAsia="Times New Roman" w:hAnsi="Times New Roman"/>
          <w:sz w:val="18"/>
          <w:szCs w:val="18"/>
          <w:color w:val="auto"/>
        </w:rPr>
        <w:t>” means the Patents, Trade Secrets, Know-How, and other proprietary information included in the RemainCo Assets that are (a) owned or otherwise licensable (without additional consideration) by the Company or the RemainCo Group as of the date of this Agreement and (b) necessary or reasonably useful to operate and exploit the SpinCo Business or any products, product candidates and research programs of the SpinCo Business and natural evolutions thereof.</w:t>
      </w:r>
    </w:p>
    <w:p>
      <w:pPr>
        <w:spacing w:after="0" w:line="180"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any Person, such Person’s Affiliates and its and their respective officers, directors, managers, partners, employees, accountants, counsel, financial advisors, consultants and other advisors, agents or representatives.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3" w:name="page34"/>
    <w:bookmarkEnd w:id="33"/>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Royalty Business</w:t>
      </w:r>
      <w:r>
        <w:rPr>
          <w:rFonts w:ascii="Times New Roman" w:cs="Times New Roman" w:eastAsia="Times New Roman" w:hAnsi="Times New Roman"/>
          <w:sz w:val="18"/>
          <w:szCs w:val="18"/>
          <w:color w:val="auto"/>
        </w:rPr>
        <w:t>” means all businesses, operations and activities of the Company and its Subsidiaries (including SpinCo), whether or not such businesses, operations and activities are or have been terminated, divested or discontinued, in each case, as conducted at any time prior to the Distribution Effective Time and contemplated to be conducted with respect to holding and managing the rights to (i) dostarlimab under the Tesaro License Agreement, including the Jemperli royalties from the Confidential Settlement and Modification Agreement dated October 22, 2020 by and between the Company, Tesaro, Inc., Tesaro Development, Ltd., and GlaxoSmithKline LLC and (ii) the imsidolimab royalties from the Vanda License Agreement.</w:t>
      </w:r>
    </w:p>
    <w:p>
      <w:pPr>
        <w:spacing w:after="0" w:line="187"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License Agreements</w:t>
      </w:r>
      <w:r>
        <w:rPr>
          <w:rFonts w:ascii="Times New Roman" w:cs="Times New Roman" w:eastAsia="Times New Roman" w:hAnsi="Times New Roman"/>
          <w:sz w:val="18"/>
          <w:szCs w:val="18"/>
          <w:color w:val="auto"/>
        </w:rPr>
        <w:t>” means the (i) Vanda License Agreement and (ii) Collaboration and Exclusive License Agreement dated March 10, 2014 by and between the Company, Tesaro, Inc. and Tesaro Development, Ltd., as amended (“</w:t>
      </w:r>
      <w:r>
        <w:rPr>
          <w:rFonts w:ascii="Times New Roman" w:cs="Times New Roman" w:eastAsia="Times New Roman" w:hAnsi="Times New Roman"/>
          <w:sz w:val="18"/>
          <w:szCs w:val="18"/>
          <w:u w:val="single" w:color="auto"/>
          <w:color w:val="auto"/>
        </w:rPr>
        <w:t>Tesaro License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336(e) Allocation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336(e) Election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336(e) Election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336(e) Written Binding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IP</w:t>
      </w:r>
      <w:r>
        <w:rPr>
          <w:rFonts w:ascii="Times New Roman" w:cs="Times New Roman" w:eastAsia="Times New Roman" w:hAnsi="Times New Roman"/>
          <w:sz w:val="18"/>
          <w:szCs w:val="18"/>
          <w:color w:val="auto"/>
        </w:rPr>
        <w:t>” means the RemainCo Shared IP and the SpinCo Shared IP, as applicable.</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 computer programs, including all software implementations of algorithms, models and methodologies, whether in source code or object code, (b) technical databases and compilations, including all technical data and collections of data, whether machine readable or otherwise, including program files, data files, computer-related data, field and technical data definitions and relationships, data definition specifications, data models, program and system logic, interfaces, program modules, routines, sub-routines, algorithms, program architecture, design concepts, system designs, program structure, sequence and organization, screen displays and report layouts, (c) descriptions, flow 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 and any improvements, updates, upgrades or derivative works of any of the foregoing.</w:t>
      </w:r>
    </w:p>
    <w:p>
      <w:pPr>
        <w:spacing w:after="0" w:line="19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Spin-Off Registration Statement</w:t>
      </w:r>
      <w:r>
        <w:rPr>
          <w:rFonts w:ascii="Times New Roman" w:cs="Times New Roman" w:eastAsia="Times New Roman" w:hAnsi="Times New Roman"/>
          <w:sz w:val="18"/>
          <w:szCs w:val="18"/>
          <w:color w:val="auto"/>
        </w:rPr>
        <w:t>” means any registration statement to be submitted and/or filed with the SEC to effect the registration of the SpinCo Common Stock pursuant to the Securities Act and the Exchange Act, including any amendment or supplement thereto, information statement or prospectus, periodic report or similar disclosure document, and may include a proxy statement relating to the stockholder meeting of the Company to be held for the adoption of this Agreement, whether or not filed with the SEC or any other Governmental Authority.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4" w:name="page35"/>
    <w:bookmarkEnd w:id="3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Accounts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Assets</w:t>
      </w:r>
      <w:r>
        <w:rPr>
          <w:rFonts w:ascii="Times New Roman" w:cs="Times New Roman" w:eastAsia="Times New Roman" w:hAnsi="Times New Roman"/>
          <w:sz w:val="18"/>
          <w:szCs w:val="18"/>
          <w:color w:val="auto"/>
        </w:rPr>
        <w:t xml:space="preserve">” means any and all right, title and interest in and to the following Assets: (a) all Intellectual Property other than the RemainCo Intellectual Property, including the Registered Intellectual Property set forth in </w:t>
      </w:r>
      <w:r>
        <w:rPr>
          <w:rFonts w:ascii="Times New Roman" w:cs="Times New Roman" w:eastAsia="Times New Roman" w:hAnsi="Times New Roman"/>
          <w:sz w:val="18"/>
          <w:szCs w:val="18"/>
          <w:u w:val="single" w:color="auto"/>
          <w:color w:val="auto"/>
        </w:rPr>
        <w:t>Schedule G-1</w:t>
      </w:r>
      <w:r>
        <w:rPr>
          <w:rFonts w:ascii="Times New Roman" w:cs="Times New Roman" w:eastAsia="Times New Roman" w:hAnsi="Times New Roman"/>
          <w:sz w:val="18"/>
          <w:szCs w:val="18"/>
          <w:color w:val="auto"/>
        </w:rPr>
        <w:t xml:space="preserve"> and all other Intellectual Property primarily related to the SpinCo Business, (b) all Software and IT Systems; (c) all interests in the capital stock of, or any other equity interests in, each Person that becomes a Subsidiary of the Company following the date of this Agreement but prior to the Distribution that SpinCo and the Company mutually agree is a member of the SpinCo Group; (d) all computers and other electronic data processing and communications equipment, fixtures, machinery, equipment (including all laboratory equipment and related materials), furniture, office equipment, special and general tools, test devices, prototypes and models and other tangible personal property; (e) all licenses, permits, registrations, approvals and authorizations that primarily relate to the SpinCo Business, including all permits issued by the FDA and comparable Governmental Authorities primarily relating to the SpinCo Business (and for the avoidance of doubt, not including any RemainCo Permits) (“</w:t>
      </w:r>
      <w:r>
        <w:rPr>
          <w:rFonts w:ascii="Times New Roman" w:cs="Times New Roman" w:eastAsia="Times New Roman" w:hAnsi="Times New Roman"/>
          <w:sz w:val="18"/>
          <w:szCs w:val="18"/>
          <w:u w:val="single" w:color="auto"/>
          <w:color w:val="auto"/>
        </w:rPr>
        <w:t>SpinCo Permits</w:t>
      </w:r>
      <w:r>
        <w:rPr>
          <w:rFonts w:ascii="Times New Roman" w:cs="Times New Roman" w:eastAsia="Times New Roman" w:hAnsi="Times New Roman"/>
          <w:sz w:val="18"/>
          <w:szCs w:val="18"/>
          <w:color w:val="auto"/>
        </w:rPr>
        <w:t xml:space="preserve">”); (f) all deposits, letters of credit, prepaid expenses, trade accounts and other accounts primarily related to or arising out of the SpinCo Business; (g) an amount in cash and cash equivalents equal to $100 million; (h) all inventories of products, goods, materials, parts, raw materials and supplies primarily related to the SpinCo Business; (i) all Transferred Plans; (j) all rights in connection with, and Assets funding any obligation under, each Transferred Plan; (k) all cost information, supplier records, supplier lists, vendor data, correspondence and lists, product data and literature, artwork, design, development and business process files and data, vendor drawings, specifications, quality records and reports and other books, records, studies, surveys, reports, plans and documents, including any and all other confidential or proprietary information, that, in each case, is primarily related to the SpinCo Business; (l) being those Contracts that primarily relate to the SpinCo Business, including the Contracts set forth on </w:t>
      </w:r>
      <w:r>
        <w:rPr>
          <w:rFonts w:ascii="Times New Roman" w:cs="Times New Roman" w:eastAsia="Times New Roman" w:hAnsi="Times New Roman"/>
          <w:sz w:val="18"/>
          <w:szCs w:val="18"/>
          <w:u w:val="single" w:color="auto"/>
          <w:color w:val="auto"/>
        </w:rPr>
        <w:t>Schedule G-2(A)</w:t>
      </w:r>
      <w:r>
        <w:rPr>
          <w:rFonts w:ascii="Times New Roman" w:cs="Times New Roman" w:eastAsia="Times New Roman" w:hAnsi="Times New Roman"/>
          <w:sz w:val="18"/>
          <w:szCs w:val="18"/>
          <w:color w:val="auto"/>
        </w:rPr>
        <w:t xml:space="preserve">, together with any rights or claims (whether accrued or contingent) arising under such Contracts and, to the extent related to the SpinCo Assets and the SpinCo Business, the rights and obligations and other Liabilities (whether accrued or contingent) arising under the Commingled Contracts set forth on </w:t>
      </w:r>
      <w:r>
        <w:rPr>
          <w:rFonts w:ascii="Times New Roman" w:cs="Times New Roman" w:eastAsia="Times New Roman" w:hAnsi="Times New Roman"/>
          <w:sz w:val="18"/>
          <w:szCs w:val="18"/>
          <w:u w:val="single" w:color="auto"/>
          <w:color w:val="auto"/>
        </w:rPr>
        <w:t>Schedule G-2(B)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SpinCo Shared Contracts</w:t>
      </w:r>
      <w:r>
        <w:rPr>
          <w:rFonts w:ascii="Times New Roman" w:cs="Times New Roman" w:eastAsia="Times New Roman" w:hAnsi="Times New Roman"/>
          <w:sz w:val="18"/>
          <w:szCs w:val="18"/>
          <w:color w:val="auto"/>
        </w:rPr>
        <w:t xml:space="preserve">”); (m) all rights under insurance policies and all rights in the nature of insurance, indemnification or contribution primarily related to, or related to claims primarily arising out of, the SpinCo Business, including the insurance policies set forth on </w:t>
      </w:r>
      <w:r>
        <w:rPr>
          <w:rFonts w:ascii="Times New Roman" w:cs="Times New Roman" w:eastAsia="Times New Roman" w:hAnsi="Times New Roman"/>
          <w:sz w:val="18"/>
          <w:szCs w:val="18"/>
          <w:u w:val="single" w:color="auto"/>
          <w:color w:val="auto"/>
        </w:rPr>
        <w:t>Schedule G-3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Agreement does not purport to Transfer ownership of any of the insurance policies of any member of the SpinCo Group or the RemainCo Group; (n) any goodwill related to the SpinCo Business; (o) any and all rights to receive the Vanda Milestones; (p) the Real Property Leases through the early termination of such Real Property Leases, or, at SpinCo’s option, December 31, 2027; and (q) any other Assets that are owned, leased or licensed, at or prior to the Distribution Effective Time, by the Company (including RemainCo or any member of the RemainCo Group), that are primarily related to the SpinCo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SpinCo Assets will exclude (A) for the avoidance of doubt, the RemainCo Assets; (B) all bank or brokerage accounts to which a member of the RemainCo Group acts as legal custodian as of the Distribution Effective Time; and (C) all Assets that are acquired or otherwise become an Asset of the RemainCo Group after the Distribution Effective Time.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5" w:name="page36"/>
    <w:bookmarkEnd w:id="35"/>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SpinCo Business</w:t>
      </w:r>
      <w:r>
        <w:rPr>
          <w:rFonts w:ascii="Times New Roman" w:cs="Times New Roman" w:eastAsia="Times New Roman" w:hAnsi="Times New Roman"/>
          <w:sz w:val="18"/>
          <w:szCs w:val="18"/>
          <w:color w:val="auto"/>
        </w:rPr>
        <w:t>” means the business, operations and activities of the Company and its Subsidiaries (including SpinCo), as conducted at any time prior to the Distribution Effective Time, that is not the Royalty Business.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Bylaws</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Common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Controlled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Employees</w:t>
      </w:r>
      <w:r>
        <w:rPr>
          <w:rFonts w:ascii="Times New Roman" w:cs="Times New Roman" w:eastAsia="Times New Roman" w:hAnsi="Times New Roman"/>
          <w:sz w:val="18"/>
          <w:szCs w:val="18"/>
          <w:color w:val="auto"/>
        </w:rPr>
        <w:t xml:space="preserve">” means (i) the Current Employees of the Company or any of its Affiliates (including the SpinCo Group)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as such Schedule may be updated as reasonably agreed to after good faith discussion by the Parties, (ii) any employees of the Company or any of its Affiliates (including the SpinCo Group) who are on a long-term leave of absence pursuant to a long-term disability Benefit Plan, (iii) all current and former contractors or other service providers of the Company or any of its Affiliates (including the SpinCo Group) who primarily provide, or primarily provided, services to the SpinCo Business, (iv) all former employees of the Company or any of its Affiliates (including the SpinCo Group) who, prior to their termination, primarily provided services to the SpinCo Business, and (v) all other current and former contractors or other service providers or employees of the Company or any of its Affiliates who do not otherwise meet the descriptions set forth in clauses (i), (ii), (iii) or (iv) of this definition of “SpinCo Employees.”</w:t>
      </w:r>
    </w:p>
    <w:p>
      <w:pPr>
        <w:spacing w:after="0" w:line="19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Group</w:t>
      </w:r>
      <w:r>
        <w:rPr>
          <w:rFonts w:ascii="Times New Roman" w:cs="Times New Roman" w:eastAsia="Times New Roman" w:hAnsi="Times New Roman"/>
          <w:sz w:val="18"/>
          <w:szCs w:val="18"/>
          <w:color w:val="auto"/>
        </w:rPr>
        <w:t>” means SpinCo and each Person that is a Subsidiary of SpinCo as of the Distribution Effective Time (but after giving effect to the Pre-Closing Reorganization), and each Person that becomes a Subsidiary of SpinCo after the Distribution Effective Time.</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Indemnifiable Pre-Closing Reorganization Steps</w:t>
      </w:r>
      <w:r>
        <w:rPr>
          <w:rFonts w:ascii="Times New Roman" w:cs="Times New Roman" w:eastAsia="Times New Roman" w:hAnsi="Times New Roman"/>
          <w:sz w:val="18"/>
          <w:szCs w:val="18"/>
          <w:color w:val="auto"/>
        </w:rPr>
        <w:t xml:space="preserve">” are the steps undertaken by the Company, SpinCo and its Affiliates pursuant to (i) the Pre-Closing Reorganization and (ii)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Indemnified Taxes</w:t>
      </w:r>
      <w:r>
        <w:rPr>
          <w:rFonts w:ascii="Times New Roman" w:cs="Times New Roman" w:eastAsia="Times New Roman" w:hAnsi="Times New Roman"/>
          <w:sz w:val="18"/>
          <w:szCs w:val="18"/>
          <w:color w:val="auto"/>
        </w:rPr>
        <w:t xml:space="preserve">” shall mean any (a) Transfer Taxes allocated to SpinCo under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and (b) U.S. federal, state, local and non-U.S. income Tax liability for any Pre-Distribution Tax Period, other than Taxes described in clauses (i)(x) and (y) and (ii) of the definition of Company Indemnified Taxes, to the extent related to the SpinCo Assets, as determined by the Parties on a pro forma SpinCo Group consolidated return prepared (i) assuming the members of the SpinCo Group were not included in the RemainCo Group; (ii) including only Tax Items relating to the SpinCo Assets in the relevant Tax Return of the RemainCo Group for the applicable tax period; (iii) except as provided herein, following the past practices of the Company in applying all applicable elections, accounting methods and conventions for the applicable taxable period; (iv) applying the highest applicable statutory marginal corporate U.S. federal, state, local and non-U.S. income Tax rate in effect for such taxable period; and (v) only taking into account actual cash Taxes payable by RemainCo attributable to taxable income generated outside of, or unrelated to, the Royalty Business and not attributable to the SpinCo Indemnifiable Pre-Closing Reorganization Steps or the Distribution; provided, further, that for purposes of clause (b)(v) of this definition, actual cash Taxes shall not include any Taxes to the extent attributable to a Tax Asset (without duplication) that is subsequently disallowed or determined to be unavailable.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36" w:name="page37"/>
    <w:bookmarkEnd w:id="36"/>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SpinCo Indemnitees</w:t>
      </w:r>
      <w:r>
        <w:rPr>
          <w:rFonts w:ascii="Times New Roman" w:cs="Times New Roman" w:eastAsia="Times New Roman" w:hAnsi="Times New Roman"/>
          <w:sz w:val="18"/>
          <w:szCs w:val="18"/>
          <w:color w:val="auto"/>
        </w:rPr>
        <w:t>” means: (i) SpinCo and each Affiliate thereof after giving effect to the Distribution; and (ii) each of the respective directors, officers, employees and agents of any of the entities described in the immediately preceding clause (i), in each case, in their capacity as such, and each of the heirs, executors, successors and assigns of any of the foregoing. For the avoidance of doubt, the term SpinCo Indemnitees shall not include stockholders of SpinCo in their capacity as stockholders thereof.</w:t>
      </w:r>
    </w:p>
    <w:p>
      <w:pPr>
        <w:spacing w:after="0" w:line="180"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Liabilities</w:t>
      </w:r>
      <w:r>
        <w:rPr>
          <w:rFonts w:ascii="Times New Roman" w:cs="Times New Roman" w:eastAsia="Times New Roman" w:hAnsi="Times New Roman"/>
          <w:sz w:val="18"/>
          <w:szCs w:val="18"/>
          <w:color w:val="auto"/>
        </w:rPr>
        <w:t xml:space="preserve">” means all Liabilities to the extent arising out of or resulting from: (i) any SpinCo Assets to the extent attributable to periods after the Distribution Effective Time (including any Liabilities under Commingled Contracts to the extent attributable to periods after the Distribution Effective Time and arising out of or resulting from the ownership or operation of any business conducted by SpinCo or any member of the SpinCo Group); (ii) the ownership or operation of any business conducted by SpinCo or any member of the SpinCo Group at any time after the Distribution Effective Time; (iii) the Transferred Plans; (iv) the employment or engagement of SpinCo Employees (including employment Taxes) to the extent attributable to periods after the Distribution Effective Time; (v) any Liabilities allocated to SpinCo or any member of the SpinCo Group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(vi) any agreements or obligations, following the Closing, of any member of the SpinCo Group, under this Agreement or the Transition Services Agreement, including the Liabilities set forth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For the avoidance of doubt, the SpinCo Liabilities shall not include any Liabilities that are expressly contemplated by this Agreement (or the Schedules hereto) as RemainCo Liabilities or any Liabilities to the extent arising out of or resulting from: (A) any agreements or obligations of any member of the RemainCo Group under this Agreement or the Transition Services Agreement; (B) any requirement or obligation imposed under applicable Law with respect to the operation or condition of any RemainCo Asset prior to, on or after the Distribution Effective Time (unless otherwise provided by this Agreement); (C) the violation, prior to, on or after the Distribution Effective Time, of any RemainCo Permits issued under Environmental Law; or (D) any Lease Termination Fee. For the avoidance of doubt, any liabilities with respect to Taxes (other than employment Taxes relating to the SpinCo Employees as contemplated by clause (iv) above) shall be governed by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Per Share Value</w:t>
      </w:r>
      <w:r>
        <w:rPr>
          <w:rFonts w:ascii="Times New Roman" w:cs="Times New Roman" w:eastAsia="Times New Roman" w:hAnsi="Times New Roman"/>
          <w:sz w:val="18"/>
          <w:szCs w:val="18"/>
          <w:color w:val="auto"/>
        </w:rPr>
        <w:t xml:space="preserve">” means the first closing price per share of SpinCo Common Stock following the Distribution Effective Time, as reported in the New York edition of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multiplied by the Distribution Ratio.</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Permits</w:t>
      </w:r>
      <w:r>
        <w:rPr>
          <w:rFonts w:ascii="Times New Roman" w:cs="Times New Roman" w:eastAsia="Times New Roman" w:hAnsi="Times New Roman"/>
          <w:sz w:val="18"/>
          <w:szCs w:val="18"/>
          <w:color w:val="auto"/>
        </w:rPr>
        <w:t>” has the meaning set forth in the definition of “SpinCo Assets.”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Prepared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Shared Contracts</w:t>
      </w:r>
      <w:r>
        <w:rPr>
          <w:rFonts w:ascii="Times New Roman" w:cs="Times New Roman" w:eastAsia="Times New Roman" w:hAnsi="Times New Roman"/>
          <w:sz w:val="18"/>
          <w:szCs w:val="18"/>
          <w:color w:val="auto"/>
        </w:rPr>
        <w:t>” has the meaning set forth in the definition of “SpinCo Assets”.</w:t>
      </w:r>
    </w:p>
    <w:p>
      <w:pPr>
        <w:spacing w:after="0" w:line="225" w:lineRule="exact"/>
        <w:rPr>
          <w:sz w:val="20"/>
          <w:szCs w:val="20"/>
          <w:color w:val="auto"/>
        </w:rPr>
      </w:pPr>
    </w:p>
    <w:p>
      <w:pPr>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Shared IP</w:t>
      </w:r>
      <w:r>
        <w:rPr>
          <w:rFonts w:ascii="Times New Roman" w:cs="Times New Roman" w:eastAsia="Times New Roman" w:hAnsi="Times New Roman"/>
          <w:sz w:val="18"/>
          <w:szCs w:val="18"/>
          <w:color w:val="auto"/>
        </w:rPr>
        <w:t>” means the Patents, Trade Secrets, Know-How and other proprietary information included in the SpinCo Assets that are (a) owned or otherwise licensable (without additional consideration) by SpinCo or the SpinCo Group as of the date of this Agreement and</w:t>
      </w:r>
    </w:p>
    <w:p>
      <w:pPr>
        <w:ind w:left="5424" w:right="1480" w:hanging="5424"/>
        <w:spacing w:after="0" w:line="433" w:lineRule="auto"/>
        <w:tabs>
          <w:tab w:leader="none" w:pos="2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or obligated to be licensed as of the date of this Agreement to third parties pursuant to the Royalty License Agreements. 16</w:t>
      </w:r>
    </w:p>
    <w:p>
      <w:pPr>
        <w:sectPr>
          <w:pgSz w:w="11900" w:h="16838" w:orient="portrait"/>
          <w:cols w:equalWidth="0" w:num="1">
            <w:col w:w="11004"/>
          </w:cols>
          <w:pgMar w:left="436" w:top="270" w:right="459" w:bottom="1440" w:gutter="0" w:footer="0" w:header="0"/>
        </w:sectPr>
      </w:pPr>
    </w:p>
    <w:bookmarkStart w:id="37" w:name="page38"/>
    <w:bookmarkEnd w:id="3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Straddle Tax Period</w:t>
      </w:r>
      <w:r>
        <w:rPr>
          <w:rFonts w:ascii="Times New Roman" w:cs="Times New Roman" w:eastAsia="Times New Roman" w:hAnsi="Times New Roman"/>
          <w:sz w:val="18"/>
          <w:szCs w:val="18"/>
          <w:color w:val="auto"/>
        </w:rPr>
        <w:t>” means any Tax period beginning on or before the Distribution Date and ending after the Distribution Date.</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any other Person with respect to which the first Person (a) has the right to elect a majority of the board of directors or other Persons performing similar functions or (b) beneficially owns more than fifty percent (50%) of the voting stock (or of any other form of voting or controlling equity interest in the case of a Person that is not a corporation), in each case, directly or indirectly through one or more other Persons.</w:t>
      </w:r>
    </w:p>
    <w:p>
      <w:pPr>
        <w:spacing w:after="0" w:line="180"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U.S. federal, state, local or non-U.S. taxes, governmental fees, levies, duties, tariffs, imposts, and other similar charges and assessments, including any income, alternative or add-on minimum, gross income, estimated, gross receipts, net worth, sales, use, ad valorem, value added, transfer, franchise, capital stock, profits, license, registration, withholding, payroll, social security (or similar, including FICA), employment, unemployment, disability, excise, severance, stamp, occupation, premium, property (real, tangible or intangible), windfall profit tax, custom duty, escheat, unclaimed property, or other tax, governmental fee or other like assessment or charge of any kind whatsoever in the nature of a tax, including any interest, penalty, or addition thereto.</w:t>
      </w:r>
    </w:p>
    <w:p>
      <w:pPr>
        <w:spacing w:after="0" w:line="18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Asset</w:t>
      </w:r>
      <w:r>
        <w:rPr>
          <w:rFonts w:ascii="Times New Roman" w:cs="Times New Roman" w:eastAsia="Times New Roman" w:hAnsi="Times New Roman"/>
          <w:sz w:val="18"/>
          <w:szCs w:val="18"/>
          <w:color w:val="auto"/>
        </w:rPr>
        <w:t>” means a net operating loss, net capital loss, unused investment credit, unused foreign Tax credit (including credits of a foreign company under Section 902 of the Code), overall foreign loss, excess charitable contribution, general business credit, research and development credit, earnings and profits, basis, or any other Tax Item that could reduce a Tax or create a Tax benefit.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Item</w:t>
      </w:r>
      <w:r>
        <w:rPr>
          <w:rFonts w:ascii="Times New Roman" w:cs="Times New Roman" w:eastAsia="Times New Roman" w:hAnsi="Times New Roman"/>
          <w:sz w:val="18"/>
          <w:szCs w:val="18"/>
          <w:color w:val="auto"/>
        </w:rPr>
        <w:t>” means, with respect to any income Tax, any item of income, gain, loss, deduction, credit, recapture, or any other item which increases or decreases Taxes paid or payable.</w:t>
      </w:r>
    </w:p>
    <w:p>
      <w:pPr>
        <w:spacing w:after="0" w:line="162"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report, information statement, election, notice, designation, declaration, claim for refund, form or other document, including any schedule or attachment thereto, and including any amendment thereof, filed or required to be filed with respect to Taxes (whether in tangible, electronic or other form).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who is not a Party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 Secrets</w:t>
      </w:r>
      <w:r>
        <w:rPr>
          <w:rFonts w:ascii="Times New Roman" w:cs="Times New Roman" w:eastAsia="Times New Roman" w:hAnsi="Times New Roman"/>
          <w:sz w:val="17"/>
          <w:szCs w:val="17"/>
          <w:color w:val="auto"/>
        </w:rPr>
        <w:t>” means any trade secret as defined under applicable Law, including any trade secrets that relate to confidential information, including ideas, research and development, know-how, formulations of products, drawings, prototypes, models, designs, manufacturing, production and other processes and techniques, schematics, engineering, production and other designs, business methods, customer lists, and supplier lists.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8" w:name="page39"/>
    <w:bookmarkEnd w:id="38"/>
    <w:p>
      <w:pPr>
        <w:jc w:val="both"/>
        <w:ind w:right="3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trademarks, service marks, corporate names, business names, trade names, brand names, product names, logos, slogans, trade dress and other indicia of source or origin, any applications and registrations for any of the foregoing and all renewals and extensions thereof, and all goodwill associated therewith and symbolized thereby.</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and its derivatives, including “</w:t>
      </w:r>
      <w:r>
        <w:rPr>
          <w:rFonts w:ascii="Times New Roman" w:cs="Times New Roman" w:eastAsia="Times New Roman" w:hAnsi="Times New Roman"/>
          <w:sz w:val="18"/>
          <w:szCs w:val="18"/>
          <w:u w:val="single" w:color="auto"/>
          <w:color w:val="auto"/>
        </w:rPr>
        <w:t>Transferring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and any other word form with the same root, shall be understood to mean to sell, assign, transfer, convey and deliver.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Employees</w:t>
      </w:r>
      <w:r>
        <w:rPr>
          <w:rFonts w:ascii="Times New Roman" w:cs="Times New Roman" w:eastAsia="Times New Roman" w:hAnsi="Times New Roman"/>
          <w:sz w:val="18"/>
          <w:szCs w:val="18"/>
          <w:color w:val="auto"/>
        </w:rPr>
        <w:t>” means the SpinCo Employees who are Current Employees as of immediately prior to the Distribution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Plan</w:t>
      </w:r>
      <w:r>
        <w:rPr>
          <w:rFonts w:ascii="Times New Roman" w:cs="Times New Roman" w:eastAsia="Times New Roman" w:hAnsi="Times New Roman"/>
          <w:sz w:val="18"/>
          <w:szCs w:val="18"/>
          <w:color w:val="auto"/>
        </w:rPr>
        <w:t>” means any Benefit Plan that is not a RemainCo Plan.</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means that certain transition services agreement to be entered into by and between the Company and SpinCo at the closing of the Distribution,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United States Treasury Regulations promulgated under the Code, and any reference to any particular Treasury Regulations section shall be interpreted to include any final or temporary revision of or successor to that section regardless of how numbered or classified.</w:t>
      </w:r>
    </w:p>
    <w:p>
      <w:pPr>
        <w:spacing w:after="0" w:line="176"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shall mean the Uniform Commercial Code as the same may from time to time be in effect in the State of New York or the Uniform Commercial Code (or similar code or statute) of another jurisdiction in the United States of America, to the extent it may be required to apply to any item or items of the Vanda Milestones Collateral.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Vanda</w:t>
      </w:r>
      <w:r>
        <w:rPr>
          <w:rFonts w:ascii="Times New Roman" w:cs="Times New Roman" w:eastAsia="Times New Roman" w:hAnsi="Times New Roman"/>
          <w:sz w:val="18"/>
          <w:szCs w:val="18"/>
          <w:color w:val="auto"/>
        </w:rPr>
        <w:t>” means Vanda Pharmaceuticals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Vanda License Agreement</w:t>
      </w:r>
      <w:r>
        <w:rPr>
          <w:rFonts w:ascii="Times New Roman" w:cs="Times New Roman" w:eastAsia="Times New Roman" w:hAnsi="Times New Roman"/>
          <w:sz w:val="18"/>
          <w:szCs w:val="18"/>
          <w:color w:val="auto"/>
        </w:rPr>
        <w:t>” means the Exclusive License Agreement dated January 31, 2025 by and between the Company and Vanda.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Vanda Milestones</w:t>
      </w:r>
      <w:r>
        <w:rPr>
          <w:rFonts w:ascii="Times New Roman" w:cs="Times New Roman" w:eastAsia="Times New Roman" w:hAnsi="Times New Roman"/>
          <w:sz w:val="18"/>
          <w:szCs w:val="18"/>
          <w:color w:val="auto"/>
        </w:rPr>
        <w:t>” means any and all milestone payments pursuant to Section 4.2 of the Vanda License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Vanda Milestones Collateral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Vanda Milestones Collateral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39" w:name="page40"/>
    <w:bookmarkEnd w:id="39"/>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xml:space="preserve">. Except where stated otherwise in this Agreement, the following rules of interpretation apply to this Agreement, (a) “either” and “or” are not exclusive and “include”, “includes” and “including” are not limiting, (b) “hereof”, “hereto”, “hereby”, “herein” and “hereunder” and words of similar import when used in this Agreement refer to this Agreement as a whole and not to any particular provision of this Agreement, (c) “extent” in the phrase “to the extent” means the degree to which a subject or other thing extends, and such phrase does not mean simply “if”, (d) descriptive headings, the table of defined terms and the table of contents are inserted for convenience only and do not affect in any way the meaning or interpretation of this Agreement, (e) definitions contained in this Agreement are applicable to the singular as well as the plural forms of such terms, (f) references to a Person are also to its permitted successors and assigns, (g) references to an “Article”, “Section”, “Exhibit”, “Annex” or “Schedule” refer to an Article or Section of, or an Exhibit, Annex or Schedule to, this Agreement, (h) references to “$” or otherwise to dollar amounts refer to the lawful currency of the United States, (i) references to a federal, state, local or foreign statute or Law include any rules, regulations and delegated legislation issued thereunder, and any reference to any Law in this Agreement shall mean such Law as from time to time amended, modified or supplemented, (j) references to any communication by any Governmental Authority includes a communication by the staff of such Governmental Authority and (k) words denoting any gender will be deemed to include all genders and words denoting natural persons will be deemed to include business entities and vice versa. The language used in this Agreement will be deemed to be the language chosen by the parties hereto to express their mutual intent, and no rule of strict construction will be applied against any party hereto. No summary of this Agreement prepared by any party will affect the meaning or interpretation of this Agreement. The parties hereto agree that they have been represented by counsel during the negotiation and execution of this Agreement and, therefore, waive the application of any Law, regulation, holding or ruling of construction providing that ambiguities in an agreement or other document will be construed against the party drafting such agreement or document. Whenever the final day for performance of an obligation under this Agreement, other than an obligation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falls on a day other than a business day, the time period for performance thereof will automatically be extended to the next day that is a business day.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of this Agreement, the Parties shall use, and shall cause their respective Affiliates to use, their respective reasonable best efforts to consummate the transactions contemplated hereby. It is the intent of the Parties that, prior to the Distribution, SpinCo shall have been restructured in accordance with the Pre-Closing Reorganization, such that, following the consummation of such reorganization, (a) SpinCo shall be a Delaware corporation, (b) SpinCo shall, directly or indirectly, own the rights, title and interest in and to the SpinCo Assets, (c) the Company shall, directly or indirectly, own the rights, title and interest in and to the RemainCo Assets, including the equity interests in any New RemainCo Subsidiary, (d) SpinCo shall, directly or indirectly, retain or assume, as applicable, all of the SpinCo Liabilities, (e) the Company or its designees shall, directly or indirectly, retain or assume, as applicable, all of the RemainCo Liabilities, (f) the SpinCo Business shall be owned or held by SpinCo or its Subsidiaries and (g) the Royalty Business shall be owned or held by the Company or its Affiliates (other than SpinCo and its Subsidiaries). For the avoidance of doubt, the foregoing shall be conducted in accordance with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0" w:name="page41"/>
    <w:bookmarkEnd w:id="4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Times New Roman" w:cs="Times New Roman" w:eastAsia="Times New Roman" w:hAnsi="Times New Roman"/>
          <w:sz w:val="18"/>
          <w:szCs w:val="18"/>
          <w:u w:val="single" w:color="auto"/>
          <w:color w:val="auto"/>
        </w:rPr>
        <w:t>Transfer of Assets and Assumption of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252"/>
        <w:spacing w:after="0"/>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one day prior to the Distribution Date:</w:t>
      </w:r>
    </w:p>
    <w:p>
      <w:pPr>
        <w:spacing w:after="0" w:line="117" w:lineRule="exact"/>
        <w:rPr>
          <w:rFonts w:ascii="Times New Roman" w:cs="Times New Roman" w:eastAsia="Times New Roman" w:hAnsi="Times New Roman"/>
          <w:sz w:val="18"/>
          <w:szCs w:val="18"/>
          <w:color w:val="auto"/>
        </w:rPr>
      </w:pPr>
    </w:p>
    <w:p>
      <w:pPr>
        <w:ind w:right="100" w:firstLine="1979"/>
        <w:spacing w:after="0" w:line="282" w:lineRule="auto"/>
        <w:tabs>
          <w:tab w:leader="none" w:pos="21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Assignment of SpinCo Assets</w:t>
      </w:r>
      <w:r>
        <w:rPr>
          <w:rFonts w:ascii="Times New Roman" w:cs="Times New Roman" w:eastAsia="Times New Roman" w:hAnsi="Times New Roman"/>
          <w:sz w:val="18"/>
          <w:szCs w:val="18"/>
          <w:color w:val="auto"/>
        </w:rPr>
        <w:t>. The Company shall Transfer to SpinCo or any member of the SpinCo Group designated by SpinCo, and such members of the SpinCo Group shall accept from the Company, all of the SpinCo Assets;</w:t>
      </w:r>
    </w:p>
    <w:p>
      <w:pPr>
        <w:spacing w:after="0" w:line="161" w:lineRule="exact"/>
        <w:rPr>
          <w:rFonts w:ascii="Times New Roman" w:cs="Times New Roman" w:eastAsia="Times New Roman" w:hAnsi="Times New Roman"/>
          <w:sz w:val="18"/>
          <w:szCs w:val="18"/>
          <w:color w:val="auto"/>
        </w:rPr>
      </w:pPr>
    </w:p>
    <w:p>
      <w:pPr>
        <w:ind w:right="100" w:firstLine="1979"/>
        <w:spacing w:after="0" w:line="254" w:lineRule="auto"/>
        <w:tabs>
          <w:tab w:leader="none" w:pos="22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and Assumption of SpinCo Liabilities</w:t>
      </w:r>
      <w:r>
        <w:rPr>
          <w:rFonts w:ascii="Times New Roman" w:cs="Times New Roman" w:eastAsia="Times New Roman" w:hAnsi="Times New Roman"/>
          <w:sz w:val="18"/>
          <w:szCs w:val="18"/>
          <w:color w:val="auto"/>
        </w:rPr>
        <w:t>. The applicable members of the SpinCo Group shall accept, assume and agree faithfully to perform, discharge and fulfill all of the SpinCo Liabilities in accordance with their respective terms. The applicable members of the SpinCo Group shall be responsible for all SpinCo Liabilities, regardless of (A) when, where or against whom such SpinCo Liabilities arose or arise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contained herein shall preclude or inhibit SpinCo from asserting against Third Parties any defenses available to the legal entity that incurred or holds such SpinCo Liability), (B) whether the facts on which they are based occurred prior to or subsequent to the Distribution Effective Time, regardless of where or against whom such SpinCo Liabilities are asserted or determined or whether asserted or determined prior to the date of this Agreement or (C) whether arising from or alleged to arise from negligence, recklessness, violation of Law, fraud or misrepresentation by any member of the RemainCo Group or the SpinCo Group, or any of their respective directors, officers, employees, agents, Subsidiaries or Affiliates;</w:t>
      </w:r>
    </w:p>
    <w:p>
      <w:pPr>
        <w:spacing w:after="0" w:line="188" w:lineRule="exact"/>
        <w:rPr>
          <w:rFonts w:ascii="Times New Roman" w:cs="Times New Roman" w:eastAsia="Times New Roman" w:hAnsi="Times New Roman"/>
          <w:sz w:val="18"/>
          <w:szCs w:val="18"/>
          <w:color w:val="auto"/>
        </w:rPr>
      </w:pPr>
    </w:p>
    <w:p>
      <w:pPr>
        <w:jc w:val="both"/>
        <w:ind w:right="340" w:firstLine="1979"/>
        <w:spacing w:after="0" w:line="266" w:lineRule="auto"/>
        <w:tabs>
          <w:tab w:leader="none" w:pos="22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Assignment of RemainCo Assets</w:t>
      </w:r>
      <w:r>
        <w:rPr>
          <w:rFonts w:ascii="Times New Roman" w:cs="Times New Roman" w:eastAsia="Times New Roman" w:hAnsi="Times New Roman"/>
          <w:sz w:val="18"/>
          <w:szCs w:val="18"/>
          <w:color w:val="auto"/>
        </w:rPr>
        <w:t>. SpinCo shall, and shall cause the applicable members of the SpinCo Group to, Transfer to the Company or any member of the RemainCo Group designated by the Company, all of the RemainCo Assets, if any, held by SpinCo or any such members of the SpinCo Group; and</w:t>
      </w:r>
    </w:p>
    <w:p>
      <w:pPr>
        <w:spacing w:after="0" w:line="173" w:lineRule="exact"/>
        <w:rPr>
          <w:rFonts w:ascii="Times New Roman" w:cs="Times New Roman" w:eastAsia="Times New Roman" w:hAnsi="Times New Roman"/>
          <w:sz w:val="18"/>
          <w:szCs w:val="18"/>
          <w:color w:val="auto"/>
        </w:rPr>
      </w:pPr>
    </w:p>
    <w:p>
      <w:pPr>
        <w:ind w:firstLine="1979"/>
        <w:spacing w:after="0" w:line="255" w:lineRule="auto"/>
        <w:tabs>
          <w:tab w:leader="none" w:pos="228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and Assumption of RemainCo 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applicable members of the RemainCo Group shall accept, assume and agree faithfully to perform, discharge and fulfill all RemainCo Liabilities in accordance with their respective terms, regardless of (A) when, where, or against whom such RemainCo Liabilities arose or arise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contained herein shall preclude or inhibit the Company from asserting against Third Parties any defenses available to the legal entity that incurred or holds such RemainCo Liability), (B) whether the facts on which they are based occurred prior to or subsequent to the Distribution Effective Time, regardless of where or against whom such RemainCo Liabilities are asserted or determined or whether asserted or determined prior to the date of this Agreement, or (C) whether arising from or alleged to arise from negligence, recklessness, violation of Law, fraud or misrepresentation by any member of the RemainCo Group or the SpinCo Group, or any of their respective directors, officers, employees, agents, Subsidiaries or Affiliates.</w:t>
      </w:r>
    </w:p>
    <w:p>
      <w:pPr>
        <w:spacing w:after="0" w:line="186" w:lineRule="exact"/>
        <w:rPr>
          <w:rFonts w:ascii="Times New Roman" w:cs="Times New Roman" w:eastAsia="Times New Roman" w:hAnsi="Times New Roman"/>
          <w:sz w:val="18"/>
          <w:szCs w:val="18"/>
          <w:color w:val="auto"/>
        </w:rPr>
      </w:pPr>
    </w:p>
    <w:p>
      <w:pPr>
        <w:ind w:firstLine="1428"/>
        <w:spacing w:after="0" w:line="258" w:lineRule="auto"/>
        <w:tabs>
          <w:tab w:leader="none" w:pos="16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Documents</w:t>
      </w:r>
      <w:r>
        <w:rPr>
          <w:rFonts w:ascii="Times New Roman" w:cs="Times New Roman" w:eastAsia="Times New Roman" w:hAnsi="Times New Roman"/>
          <w:sz w:val="18"/>
          <w:szCs w:val="18"/>
          <w:color w:val="auto"/>
        </w:rPr>
        <w:t xml:space="preserve">. In furtherance of the Transfer of the Assets and the assumption of the Liabilities in accordance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(i) each Party shall prepare, execute and deliver, and shall cause the applicable members of its Group to prepare, execute and deliver, such Conveyancing and Assumption Instruments as and to the extent reasonably necessary to evidence the valid Transfer, conveyance and assignment of all of such Party’s and the applicable members of its Group’s right, title and interest in and to such Assets to the other Party and the applicable members of its Group in accordance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(it being agreed and understood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41" w:name="page42"/>
    <w:bookmarkEnd w:id="4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no such Conveyancing and Assumption Instruments shall require either Party to make any representations or warranties, express or implied, not contained in this Agreement or agree to any covenants or other obligations, including indemnities, effective after the Distribution (except to the extent required to comply with applicable Law, and in which case the Parties and the parties to such Conveyancing and Assumption Instrument(s) shall enter into such supplemental agreements or arrangements as are effective to preserve the allocation of economic benefits and burdens contemplated by this Agreement and the Transition Services Agreement)) and (ii) each Party shall prepare, execute and deliver, and shall cause the applicable members of its Group to execute and deliver, to the other Party such Conveyancing and Assumption Instruments as and to the extent reasonably necessary to evidence the valid and effective assumption of the Liabilities by such Party and the applicable members of its Group in accordance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(it being agreed and understood that no such Conveyancing and Assumption Instruments shall require either Party to make any representations or warranties, express or implied, not contained in this Agreement or agree to any covenants or other obligations, including indemnities, effective after the Distribution (except to the extent required to comply with applicable Law, and in which case the Parties and the parties to such Conveyancing and Assumption Instrument(s) shall enter into such supplemental agreements or arrangements as are effective to preserve the allocation of economic benefits and burdens contemplated by this Agreement and the Transition Services Agreement)). All of the foregoing documents contemplated by this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shall be referred to collectively herein as the “</w:t>
      </w:r>
      <w:r>
        <w:rPr>
          <w:rFonts w:ascii="Times New Roman" w:cs="Times New Roman" w:eastAsia="Times New Roman" w:hAnsi="Times New Roman"/>
          <w:sz w:val="18"/>
          <w:szCs w:val="18"/>
          <w:u w:val="single" w:color="auto"/>
          <w:color w:val="auto"/>
        </w:rPr>
        <w:t>Transfer Documents</w:t>
      </w:r>
      <w:r>
        <w:rPr>
          <w:rFonts w:ascii="Times New Roman" w:cs="Times New Roman" w:eastAsia="Times New Roman" w:hAnsi="Times New Roman"/>
          <w:sz w:val="18"/>
          <w:szCs w:val="18"/>
          <w:color w:val="auto"/>
        </w:rPr>
        <w:t>.” To the extent that any provision of a Transfer Document conflicts with any provision of this Agreement, this Agreement shall govern and control.</w:t>
      </w:r>
    </w:p>
    <w:p>
      <w:pPr>
        <w:spacing w:after="0" w:line="197" w:lineRule="exact"/>
        <w:rPr>
          <w:sz w:val="20"/>
          <w:szCs w:val="20"/>
          <w:color w:val="auto"/>
        </w:rPr>
      </w:pPr>
    </w:p>
    <w:p>
      <w:pPr>
        <w:jc w:val="both"/>
        <w:ind w:firstLine="1428"/>
        <w:spacing w:after="0" w:line="266" w:lineRule="auto"/>
        <w:tabs>
          <w:tab w:leader="none" w:pos="16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Bulk-Sale and Bulk-Transfer Laws</w:t>
      </w:r>
      <w:r>
        <w:rPr>
          <w:rFonts w:ascii="Times New Roman" w:cs="Times New Roman" w:eastAsia="Times New Roman" w:hAnsi="Times New Roman"/>
          <w:sz w:val="18"/>
          <w:szCs w:val="18"/>
          <w:color w:val="auto"/>
        </w:rPr>
        <w:t>. SpinCo and each member of the SpinCo Group hereby waives compliance by each and every member of the RemainCo Group with the requirements and provisions of any “bulk-sale” or “bulk-transfer” Laws of any jurisdiction that may be applicable with respect to the transfer or sale of any or all of the SpinCo Assets to any member of the SpinCo Group.</w:t>
      </w:r>
    </w:p>
    <w:p>
      <w:pPr>
        <w:spacing w:after="0" w:line="176"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Treatment of Commingled Contracts</w:t>
      </w:r>
      <w:r>
        <w:rPr>
          <w:rFonts w:ascii="Times New Roman" w:cs="Times New Roman" w:eastAsia="Times New Roman" w:hAnsi="Times New Roman"/>
          <w:sz w:val="18"/>
          <w:szCs w:val="18"/>
          <w:color w:val="auto"/>
        </w:rPr>
        <w:t xml:space="preserve">. From the date of this Agreement and until the date that is twenty-four (24) months after the Distribution, to the extent (i) the rights and obligations (or comparable services) under any Commingled Contract have not been or are not contemplated to be provided to either the SpinCo Group or the RemainCo Group pursuant to the Transition Services Agreement or sublicensed pursuant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(ii) replacement Contracts, contract rights, bids, purchase orders or other agreements for such Commingled Contract have not yet been obtained or are not contemplated to be obtained pursuant to this Agreement, and (iii) requested by SpinCo or RemainCo in good faith and in writing following the Distribution, RemainCo or SpinCo, as applicable, shall use commercially reasonable efforts to assist the other Party (in each case with effect following the Distribution Effective Time): (A) to establish replacement Contracts, contract rights, bids, purchase orders or other agreements with respect to the SpinCo Business or Royalty Business with any Third Party which is a counterparty to such Commingled Contract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(B) to assign to a member of the SpinCo Group or RemainCo Group, as applicable, the rights and obligations under such Commingled Contract to the extent related to either the SpinCo Business or the Royalty Business, as applicable, so that RemainCo and SpinCo or the members of their respective Groups shall be entitled to the rights and benefits, and shall assume the related portion of any Liabilities, inuring to their respective Business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or (C) to establish reasonable and lawful arrangements designed to provide the SpinCo</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2" w:name="page43"/>
    <w:bookmarkEnd w:id="4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Group or RemainCo Group, as applicable, with the rights and obligations under such Commingled Contract to the extent related to the SpinCo Business or the Royalty Business, as applicable; except in each case of (A), (B) and (C), RemainCo shall be under no obligation to assign any rights or obligations under a Commingled Contract to the SpinCo Group that would compromise, dilute, restrict or otherwise adversely affect the Royalty Business or RemainCo’s rights in and to the RemainCo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SpinCo makes any representation or warranty that any Third Party will consent to any such assignment or agree to enter into any such Contract, contract right, bid, purchase order or other agreement with any member of the SpinCo Group or RemainCo Group, as applicable, on the existing terms of the applicable Commingled Contract or at all. Neither RemainCo, SpinCo nor their Affiliates shall be required to expend any non-</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unreimbursed money, commence any litigation, offer or grant any non-</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unreimbursed accommodation (financial or otherwise) to any Third Party or to extend or renew any Commingled Contract to fulfill their obligations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For the avoidance of doubt, each Commingled Contract shall constitute a RemainCo Asset (except for those Contracts expressly set forth on </w:t>
      </w:r>
      <w:r>
        <w:rPr>
          <w:rFonts w:ascii="Times New Roman" w:cs="Times New Roman" w:eastAsia="Times New Roman" w:hAnsi="Times New Roman"/>
          <w:sz w:val="18"/>
          <w:szCs w:val="18"/>
          <w:u w:val="single" w:color="auto"/>
          <w:color w:val="auto"/>
        </w:rPr>
        <w:t>Schedule G-2(B)</w:t>
      </w:r>
      <w:r>
        <w:rPr>
          <w:rFonts w:ascii="Times New Roman" w:cs="Times New Roman" w:eastAsia="Times New Roman" w:hAnsi="Times New Roman"/>
          <w:sz w:val="18"/>
          <w:szCs w:val="18"/>
          <w:color w:val="auto"/>
        </w:rPr>
        <w:t>) and the original Contract shall remain with RemainCo.</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Nonassignability of Assets and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58" w:lineRule="auto"/>
        <w:tabs>
          <w:tab w:leader="none" w:pos="16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to the extent that any Transfer or attempted Transfer or assumption or attempted assumption hereunder is (i) prohibited by any applicable Law or (ii) without a Third Party consent would (A) constitute a breach or other contravention of such Asset or Liability, (B) subject a Party or any of their respective officers, directors, agents or Affiliates, to civil or criminal liability, or (C) be ineffective, void or voidable and such Third Party consent has not been obtained prior to the Distribution, then, in each case, subject to the conditions to the Distribution, the Distribution shall proceed without such Transfer or assumption.</w:t>
      </w:r>
    </w:p>
    <w:p>
      <w:pPr>
        <w:spacing w:after="0" w:line="18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with respect to (i) any Asset whose Transfer pursuant to this Agreement is delayed (each, a</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Asset</w:t>
      </w:r>
      <w:r>
        <w:rPr>
          <w:rFonts w:ascii="Times New Roman" w:cs="Times New Roman" w:eastAsia="Times New Roman" w:hAnsi="Times New Roman"/>
          <w:sz w:val="18"/>
          <w:szCs w:val="18"/>
          <w:color w:val="auto"/>
        </w:rPr>
        <w:t>”) or (ii) any Liability whose assumption pursuant to this Agreement is delayed (each, a “</w:t>
      </w:r>
      <w:r>
        <w:rPr>
          <w:rFonts w:ascii="Times New Roman" w:cs="Times New Roman" w:eastAsia="Times New Roman" w:hAnsi="Times New Roman"/>
          <w:sz w:val="18"/>
          <w:szCs w:val="18"/>
          <w:u w:val="single" w:color="auto"/>
          <w:color w:val="auto"/>
        </w:rPr>
        <w:t>Delayed Liability</w:t>
      </w:r>
      <w:r>
        <w:rPr>
          <w:rFonts w:ascii="Times New Roman" w:cs="Times New Roman" w:eastAsia="Times New Roman" w:hAnsi="Times New Roman"/>
          <w:sz w:val="18"/>
          <w:szCs w:val="18"/>
          <w:color w:val="auto"/>
        </w:rPr>
        <w:t>”), the Party (or relevant member of its Group) (x) retaining such Delayed Asset shall thereafter hold for the use and benefit of the Party or relevant member of its Group entitled thereto (at the expense of the Person entitled thereto) and use their commercially reasonable efforts to cooperate with the intended recipient to agree to any reasonable and lawful arrangements designed to provide the applicable Party or relevant member of its Group with the economic claims, rights, benefits and control over such Delayed Asset and assume the economic burdens and obligations with respect thereto in accordance with this Agreement, including by subcontracting, sublicensing or subleasing arrangements to the extent legally permissible, and (y) intended to assume such Delayed Liability shall, or shall cause the applicable member of its Group to, pay or reimburse the Party (or relevant member of its Group) retaining such Delayed Liability for all amounts paid or incurred by such Party in connection with the retention of such Delayed Liability. In addition, the Party retaining any Delayed Asset or Delayed Liability (or relevant member of its Group) shall or shall cause such member of its Group to treat such Delayed Asset or Delayed Liability in the ordinary course of business in accordance with past practice. In furtherance of the foregoing, and subject to applicable Law, each Party shall, or shall cause any relevant member of its Group to, (A) use commercially reasonable efforts to enforce at another Party’s (or relevant member of its Group’s) request, 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3" w:name="page44"/>
    <w:bookmarkEnd w:id="4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allow another Party’s Group to enforce in a commercially reasonable manner, any rights of the Party or its Group under such Delayed Assets and Delayed Liabilities against any other Persons, (B) not waive any rights related to such Delayed Assets or Delayed Liabilities to the extent related to the Business, Assets or Liabilities of another Party’s Group, (C) subject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the terms and conditions of such underlying Contract, (1) not terminate (or consent to be terminated by the counterparty) any Contract that constitutes such Delayed Asset except in connection with (i) the expiration of such Contract in accordance with its terms (it being understood, for the avoidance of doubt, that sending a notice of non-renewal to the counterparty to such Contract in accordance with the terms of such Contract is expressly permitted) or (ii) a partial termination of such Contract that would not reasonably be expected to impact any rights under such Contract related to the Business, Assets or Liabilities of such other Party, (2) not amend, modify or supplement any Contract that constitutes such Delayed Asset in a manner material (relative to the existing rights and obligations related to such other Party’s Business, Assets or Liabilities under such Contract) and adverse to the Business, Assets or Liabilities of such other Party or any member of its Group or (3) provide written notice to the applicable other Party as soon as reasonably practicable after receipt of any notice of breach received from a counterparty to any Contract that constitutes such Delayed Asset and that would reasonably be expected to impact the other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RemainCo may terminate the Real Property Leases upon ninety (90) days’ prior written notice to SpinCo, and (D) take (or refrain from taking) such actions as reasonably requested by the Party to which such Delayed Asset or Delayed Liability is to be Transferred or assumed in order to place such Party in the same position as if such Delayed Asset or Delayed Liability had been Transferred as of the Distribution so that all the benefits and burdens relating to such Delayed Asset or Delayed Liability, including possession, use, risk of loss, potential for income and gain, and dominion, control and command over such Delayed Asset or Delayed Liability, are to inure from and after the Distribution to the relevant member or members of the RemainCo Group or SpinCo Group entitled to the receipt of such Delayed Asset or required to assume such Delayed Liability. Once the required Third Party consent is obtained, condition satisfied, or potential violation, conflict, or other circumstance that caused the deferral of the Transfer of the Delayed Asset or assumption of the Delayed Liability is resolved, the Parties shall, or shall cause their relevant Affiliates to, Transfer such Asset and all earnings to the extent arising from such Asset from the time of the Distribution until the time of such Transfer or assumption of such Liability at no additional cost, which shall be treated as having been Transferred or assumed prior to the Distribution and owned by such Group for U.S. federal (and applicable state or local) income tax purposes from and after the Distribution, to the extent allowable by applicable Law. Subject to the terms and conditions hereof (including compliance with the terms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no Party shall have any Liability to the other Party (or its respective Affiliates) arising out of or relating to the failure to obtain any such Third Party consent that may be required in connection with the transactions contemplated by this Agreement, despite otherwise complying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or the transactions contemplated by the Transition Services Agreement. For so long as any Party (or member of its Group) holds any Assets allocated to the other Group pursuant to this Agreement or the Transition Services Agreement and provides to the other Group any claims, rights and benefits of any such Assets pursuant to an arrangement described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Party whose Group receives such claims, rights and benefits shall indemnify and hold harmless the members of the other Group from and against all Losses incurred as a result thereof in accordance with this Agreement, other than as a result of the gross negligence, fraud or willful misconduct of the members of the Group providing such claims, rights and benefits.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44" w:name="page45"/>
    <w:bookmarkEnd w:id="44"/>
    <w:p>
      <w:pPr>
        <w:ind w:left="4" w:right="80" w:firstLine="1428"/>
        <w:spacing w:after="0" w:line="254" w:lineRule="auto"/>
        <w:tabs>
          <w:tab w:leader="none" w:pos="168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Party (or relevant member of its Group) retaining any Asset or Liability due to the deferral of the Transfer of such Asset or the deferral of the assumption of such Liability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or otherwise shall not be obligated, in connection with the foregoing, to expend any money unless the necessary funds are advanced, assumed, or agreed in advance to be reimbursed by the Party (or relevant member of its Group) entitled to such Asset or the Person intended to be subject to such Liability, other than reasonable attorneys’ fees and recording or similar or other incidental fees, all of which shall be reasonably promptly reimbursed by the Party (or relevant member of its Group) entitled to such Asset or the Person intended to be subject to such Liability. None of SpinCo or the Company or any of their respective Affiliates shall be required to commence any litigation or offer or pay any non-</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money or otherwise grant any non-</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accommodation (financial or otherwise) to any Third Party with respect to any Assets or Liabilities not Transferred or assumed, respectively, as of the Distribution.</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Wrong Pockets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76" w:lineRule="auto"/>
        <w:tabs>
          <w:tab w:leader="none" w:pos="168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(Treatment of Commingled Contracts) and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(Nonassignability of Assets and Liabilities), if after the Distribution (i) any Party discovers that any SpinCo Asset is held by any member of the RemainCo Group or any of their respective then-Affiliates,</w:t>
      </w:r>
    </w:p>
    <w:p>
      <w:pPr>
        <w:ind w:left="4" w:hanging="4"/>
        <w:spacing w:after="0" w:line="251" w:lineRule="auto"/>
        <w:tabs>
          <w:tab w:leader="none" w:pos="2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Party shall provide notice to the other Party of such SpinCo Asset and (B) RemainCo shall, and shall cause the other members of its respective Group and its respective then-Affiliates to, use their respective reasonable best efforts to promptly procure the Transfer of the relevant SpinCo Asset and all earnings to the extent arising from such SpinCo Asset from the time of the Distribution until the time of such transfer to SpinCo or an Affiliate of SpinCo designated by SpinCo, for no additional consideration, or (ii) any Party discovers that any RemainCo Asset is held by any member of the SpinCo Group or any of their respective then-Affiliates, (A) such Party shall provide notice to the other Party of such RemainCo Asset and (B) SpinCo shall, and shall cause the other members of its respective Group and its respective then-Affiliates to, use their respective reasonable best efforts to promptly procure the Transfer of the relevant RemainCo Asset and all earnings to the extent arising from such RemainCo Asset from the time of the Distribution until the time of such transfer to the Company or an Affiliate of the Company designated by the Company, for no additional consideration. If reasonably practicable and permitted under applicable Law, such Transfer may be effected by rescission of the applicable portion of a Conveyancing and Assumption Instrument as may be agreed by the relevant Parties. For clarity, in the event that any Asset set forth in </w:t>
      </w:r>
      <w:r>
        <w:rPr>
          <w:rFonts w:ascii="Times New Roman" w:cs="Times New Roman" w:eastAsia="Times New Roman" w:hAnsi="Times New Roman"/>
          <w:sz w:val="18"/>
          <w:szCs w:val="18"/>
          <w:u w:val="single" w:color="auto"/>
          <w:color w:val="auto"/>
        </w:rPr>
        <w:t>Section 2.5(a)(ii)</w:t>
      </w:r>
      <w:r>
        <w:rPr>
          <w:rFonts w:ascii="Times New Roman" w:cs="Times New Roman" w:eastAsia="Times New Roman" w:hAnsi="Times New Roman"/>
          <w:sz w:val="18"/>
          <w:szCs w:val="18"/>
          <w:color w:val="auto"/>
        </w:rPr>
        <w:t xml:space="preserve"> is held by a former Affiliate of the SpinCo Group, SpinCo shall use reasonable best efforts to obtain the rights to such Asset back from such former Affiliate (or any applicable successor or assign). Any Transfer made pursuant to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shall be treated by the Parties for all purposes as if it had occurred immediately prior to the Distribution Effective Time, except as otherwise required by applicable Law or a Final Determination.</w:t>
      </w:r>
    </w:p>
    <w:p>
      <w:pPr>
        <w:spacing w:after="0" w:line="191" w:lineRule="exact"/>
        <w:rPr>
          <w:rFonts w:ascii="Times New Roman" w:cs="Times New Roman" w:eastAsia="Times New Roman" w:hAnsi="Times New Roman"/>
          <w:sz w:val="18"/>
          <w:szCs w:val="18"/>
          <w:color w:val="auto"/>
        </w:rPr>
      </w:pPr>
    </w:p>
    <w:p>
      <w:pPr>
        <w:ind w:left="4" w:right="220" w:firstLine="1428"/>
        <w:spacing w:after="0" w:line="276" w:lineRule="auto"/>
        <w:tabs>
          <w:tab w:leader="none" w:pos="1691"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any time prior to the Distribution Effective Time, the Company may, in its sole discretion, elect to designate additional RemainCo Assets as SpinCo Assets, such that such Assets will be assigned to or remain with SpinCo at the closing of the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w:t>
      </w:r>
    </w:p>
    <w:p>
      <w:pPr>
        <w:ind w:left="4"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any such designated RemainCo Assets must be primarily related to the SpinCo Business, and (ii) the designation of such Assets as SpinCo Assets may not result in the assumption of additional SpinCo Liabilities by SpinCo that exceed the value of such Assets. To the extent that the designation of any such Assets as SpinCo Assets would result in the assumption of additional SpinCo Liabilities by SpinCo that exceed the value of such Assets, or where such Assets are not primarily related to the SpinCo Business, the Parties will negotiate in good faith to determine the allocation of such Assets as between RemainCo and SpinCo.</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70" w:right="479" w:bottom="1440" w:gutter="0" w:footer="0" w:header="0"/>
        </w:sectPr>
      </w:pPr>
    </w:p>
    <w:bookmarkStart w:id="45" w:name="page46"/>
    <w:bookmarkEnd w:id="45"/>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2.6 </w:t>
      </w:r>
      <w:r>
        <w:rPr>
          <w:rFonts w:ascii="Times New Roman" w:cs="Times New Roman" w:eastAsia="Times New Roman" w:hAnsi="Times New Roman"/>
          <w:sz w:val="18"/>
          <w:szCs w:val="18"/>
          <w:u w:val="single" w:color="auto"/>
          <w:color w:val="auto"/>
        </w:rPr>
        <w:t>Novation of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1428"/>
        <w:spacing w:after="0" w:line="254" w:lineRule="auto"/>
        <w:tabs>
          <w:tab w:leader="none" w:pos="1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at the written request of the other Party, shall use commercially reasonable efforts (i) to obtain, or to cause to be obtained, any Consent, substitution or amendment required to novate or assign all obligations under Contracts, licenses and other Liabilities for which a member of such Party’s Group and a member of the other Party’s Group are prior to the Distribution Effective Time jointly or severally liable and that do not constitute Liabilities of such other Party following the Distribution Effective Time as provided in this Agreement (such other Party, the “</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xml:space="preserve">”) or (ii) to obtain in writing the unconditional release of all parties to such arrangements (other than any member of the Group who assumed or retained such Liability as set forth in this Agreement), so that, in any such case, the members of the applicable Group will be solely responsible for such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Party shall be obligated to pay any consideration (or otherwise incur any Liability or obligation) therefor to any Third Party from whom any such Consent, substitution or amendment is requested (unless such Party is fully reimbursed or otherwise made whole by the requesting Party).</w:t>
      </w:r>
    </w:p>
    <w:p>
      <w:pPr>
        <w:spacing w:after="0" w:line="188" w:lineRule="exact"/>
        <w:rPr>
          <w:rFonts w:ascii="Times New Roman" w:cs="Times New Roman" w:eastAsia="Times New Roman" w:hAnsi="Times New Roman"/>
          <w:sz w:val="18"/>
          <w:szCs w:val="18"/>
          <w:color w:val="auto"/>
        </w:rPr>
      </w:pPr>
    </w:p>
    <w:p>
      <w:pPr>
        <w:ind w:left="-20" w:firstLine="1428"/>
        <w:spacing w:after="0" w:line="252" w:lineRule="auto"/>
        <w:tabs>
          <w:tab w:leader="none" w:pos="16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are unable to obtain, or to cause to be obtained, any such required Consent, release, substitution or amendment, the Other Party or a member of the Other Party’s Group shall continue to be bound by such Contract, license or other obligation that does not constitute a Liability of such Other Party and, unless not permitted by Law or the terms of such Contract, license or other obligation, as agent or subcontractor for such Party, the Party or member of such Party’s Group who assumed or retained such Liability as set forth in this Agreement (the “</w:t>
      </w:r>
      <w:r>
        <w:rPr>
          <w:rFonts w:ascii="Times New Roman" w:cs="Times New Roman" w:eastAsia="Times New Roman" w:hAnsi="Times New Roman"/>
          <w:sz w:val="18"/>
          <w:szCs w:val="18"/>
          <w:u w:val="single" w:color="auto"/>
          <w:color w:val="auto"/>
        </w:rPr>
        <w:t>Liable Party</w:t>
      </w:r>
      <w:r>
        <w:rPr>
          <w:rFonts w:ascii="Times New Roman" w:cs="Times New Roman" w:eastAsia="Times New Roman" w:hAnsi="Times New Roman"/>
          <w:sz w:val="18"/>
          <w:szCs w:val="18"/>
          <w:color w:val="auto"/>
        </w:rPr>
        <w:t xml:space="preserve">”) shall, or shall cause a member of its Group to, pay, perform and discharge fully all the obligations or other Liabilities of such Other Party or member of the Other Party’s Group thereunder from and after the Distribution Effective Time. The Liable Party shall indemnify the Other Party as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Liable Party shall have no obligation to indemnify the Other Party for losses resulting from such Other Party’s gross negligence, willful misconduct or bad faith. The Other Party shall, without further consideration, promptly pay and remit, or cause to be promptly paid or remitted, to the Liable Party or any member of the Liable Party’s Group, any money, rights and other consideration received by it or any member of its Group in respect of such performance by the Liable Party (unless any such consideration is an Asset of such Other Party pursuant to this Agreement). If and when any such Consent, release, substitution or amendment shall be obtained or such agreement, lease, license or other rights or obligations shall otherwise become assignable or able to be novated, the Other Party shall promptly Transfer all rights and Liabilities thereunder of any member of such Other Party’s Group to the Liable Party, or to another member of the Liable Party’s Group, without payment of any further consideration and the Liable Party, or another member of the Liable Party’s Group, without the payment of any further consideration, shall assume such rights and Liabilities.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60" w:top="270" w:right="479" w:bottom="1440" w:gutter="0" w:footer="0" w:header="0"/>
        </w:sectPr>
      </w:pPr>
    </w:p>
    <w:bookmarkStart w:id="46" w:name="page47"/>
    <w:bookmarkEnd w:id="4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2.7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1428"/>
        <w:spacing w:after="0" w:line="269" w:lineRule="auto"/>
        <w:tabs>
          <w:tab w:leader="none" w:pos="168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Company shall, and shall cause the other members of its Group to (with the reasonable cooperation of the applicable other Party) use commercially reasonable efforts to (A) cause a member of the RemainCo Group to be substituted in all respects for a member of the SpinCo Group, as applicable, and (B) have all members of the SpinCo Group removed or released as guarantor of or obligor for any Liability of the Company (including any credit agreement, guarantee, indemnity, surety bond, letter of credit, banker acceptance and letter of comfort given or obtained by any member of the SpinCo Group for the benefit of any member of the RemainCo Group) to the fullest extent permitted by applicable Law, and</w:t>
      </w:r>
    </w:p>
    <w:p>
      <w:pPr>
        <w:spacing w:after="0" w:line="2" w:lineRule="exact"/>
        <w:rPr>
          <w:rFonts w:ascii="Times New Roman" w:cs="Times New Roman" w:eastAsia="Times New Roman" w:hAnsi="Times New Roman"/>
          <w:sz w:val="17"/>
          <w:szCs w:val="17"/>
          <w:color w:val="auto"/>
        </w:rPr>
      </w:pPr>
    </w:p>
    <w:p>
      <w:pPr>
        <w:ind w:left="4" w:right="80" w:hanging="4"/>
        <w:spacing w:after="0" w:line="265" w:lineRule="auto"/>
        <w:tabs>
          <w:tab w:leader="none" w:pos="26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SpinCo shall, and shall cause the other members of its Group to (with the reasonable cooperation of the applicable Party), use commercially reasonable efforts to (A) cause a member of the SpinCo Group to be substituted in all respects for a member of the RemainCo Group, as applicable, and</w:t>
      </w:r>
    </w:p>
    <w:p>
      <w:pPr>
        <w:ind w:left="4"/>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have all members of the RemainCo Group removed or released as guarantor of or obligor for any Liability of SpinCo (including any credit agreement, guarantee, indemnity, surety bond, letter of credit, banker acceptance and letter of comfort given or obtained by any member of the RemainCo Group for the benefit of any member of the SpinCo Group) to the fullest extent permitted by applicable Law, in each case (clauses (i)-(ii)), on or prior to the Distribution or as soon as reasonably practicably thereafter. Except as otherwise provided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no member of the SpinCo Group, or the RemainCo Group or any of their respective Affiliates from time to time shall be required to commence any litigation or offer or pay any amount of money or otherwise grant any accommodation (financial or otherwise) to any Third Party with respect to any such guarantees.</w:t>
      </w:r>
    </w:p>
    <w:p>
      <w:pPr>
        <w:spacing w:after="0" w:line="189" w:lineRule="exact"/>
        <w:rPr>
          <w:rFonts w:ascii="Times New Roman" w:cs="Times New Roman" w:eastAsia="Times New Roman" w:hAnsi="Times New Roman"/>
          <w:sz w:val="17"/>
          <w:szCs w:val="17"/>
          <w:color w:val="auto"/>
        </w:rPr>
      </w:pPr>
    </w:p>
    <w:p>
      <w:pPr>
        <w:ind w:left="4" w:right="40" w:firstLine="1428"/>
        <w:spacing w:after="0" w:line="253" w:lineRule="auto"/>
        <w:tabs>
          <w:tab w:leader="none" w:pos="169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Distribution or as soon as reasonably practicable thereafter, to the extent required to obtain a release of any member of the SpinCo Group from a guaranty for the benefit of any member of the RemainCo Group, the Company shall, and shall cause the other members of its Group to, as applicable, execute a guaranty agreement in the form of the existing guaranty, except to the extent that such existing guaranty contains representations, covenants or other terms or provisions either (i) with which any member of the RemainCo Group, as the case may be, would be reasonably unable to comply or (ii) which would be reasonably expected to be breached. On or prior to the Distribution or as soon as reasonably practicable thereafter, to the extent required to obtain a release of any member of the RemainCo Group from a guaranty for the benefit of any member of the SpinCo Group, SpinCo shall, and shall cause the other members of its Group to, as applicable, execute a guaranty agreement in the form of the existing guaranty, except to the extent that such existing guaranty contains representations, covenants or other terms or provisions either (A) with which any member of the SpinCo Group, as the case may be, would be reasonably unable to comply or (B) which would be reasonably expected to be breached.</w:t>
      </w:r>
    </w:p>
    <w:p>
      <w:pPr>
        <w:spacing w:after="0" w:line="194"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SpinCo or the Company is unable to obtain, or to cause to be obtained, any such required removal as set forth in clauses</w:t>
      </w:r>
    </w:p>
    <w:p>
      <w:pPr>
        <w:spacing w:after="0" w:line="27" w:lineRule="exact"/>
        <w:rPr>
          <w:rFonts w:ascii="Times New Roman" w:cs="Times New Roman" w:eastAsia="Times New Roman" w:hAnsi="Times New Roman"/>
          <w:sz w:val="18"/>
          <w:szCs w:val="18"/>
          <w:color w:val="auto"/>
        </w:rPr>
      </w:pPr>
    </w:p>
    <w:p>
      <w:pPr>
        <w:ind w:left="4" w:right="20" w:hanging="4"/>
        <w:spacing w:after="0" w:line="252" w:lineRule="auto"/>
        <w:tabs>
          <w:tab w:leader="none" w:pos="2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(b)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(i) the Party whose Group is the relevant beneficiary of such guarantee or any letters of credit, performance bonds, surety bonds, bankers acceptances, or other similar arrangements shall indemnify and hold harmless the unreleased guarantor or obligor for any Loss arising from or relating thereto and shall or shall cause one of the other members of its Group, as agent or subcontractor for such unreleased guarantor or obligor to pay, perform and discharge fully all the obligations or other Liabilities of such unreleased guarantor or obligor thereunder and (ii) each of SpinCo and the Company agrees not to (and to cause the members of their respective Groups not to) renew or extend the term of, increase its obligations under, or Transfer to a Third Party, any</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70" w:right="439" w:bottom="1440" w:gutter="0" w:footer="0" w:header="0"/>
        </w:sectPr>
      </w:pPr>
    </w:p>
    <w:bookmarkStart w:id="47" w:name="page48"/>
    <w:bookmarkEnd w:id="47"/>
    <w:p>
      <w:pPr>
        <w:ind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unreleased guarantees or letters of credit, performance bonds, surety bonds, bankers acceptances, or other similar arrangements, for which such unreleased Party is or may be liable, without the prior written consent of such other Party (such consent not to be unreasonably withheld, delayed or conditioned), unless all obligations of such other unreleased Party and the other members of such Party’s Group with respect thereto are thereupon terminated by documentation reasonably satisfactory in form and substance to such Party.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Bank Accounts; Funds in Transit</w:t>
      </w:r>
      <w:r>
        <w:rPr>
          <w:rFonts w:ascii="Times New Roman" w:cs="Times New Roman" w:eastAsia="Times New Roman" w:hAnsi="Times New Roman"/>
          <w:sz w:val="18"/>
          <w:szCs w:val="18"/>
          <w:color w:val="auto"/>
        </w:rPr>
        <w:t>. Except as otherwise provided in the Transition Services Agreement:</w:t>
      </w:r>
    </w:p>
    <w:p>
      <w:pPr>
        <w:spacing w:after="0" w:line="117" w:lineRule="exact"/>
        <w:rPr>
          <w:sz w:val="20"/>
          <w:szCs w:val="20"/>
          <w:color w:val="auto"/>
        </w:rPr>
      </w:pPr>
    </w:p>
    <w:p>
      <w:pPr>
        <w:ind w:right="360" w:firstLine="1428"/>
        <w:spacing w:after="0" w:line="282" w:lineRule="auto"/>
        <w:tabs>
          <w:tab w:leader="none" w:pos="167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Distribution Effective Time, the Company shall transfer title and ownership of each bank and brokerage account listed on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 xml:space="preserve"> to a member of the SpinCo Group.</w:t>
      </w:r>
    </w:p>
    <w:p>
      <w:pPr>
        <w:spacing w:after="0" w:line="161"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agrees to take, or cause the members of its Group to take, at the Distribution Effective Time (or such earlier time as the Parties may agree), all actions necessary to amend all Contracts or agreements governing each bank and brokerage account owned by SpinCo as of the Distribution Effective Time, including the accounts listed on </w:t>
      </w:r>
      <w:r>
        <w:rPr>
          <w:rFonts w:ascii="Times New Roman" w:cs="Times New Roman" w:eastAsia="Times New Roman" w:hAnsi="Times New Roman"/>
          <w:sz w:val="18"/>
          <w:szCs w:val="18"/>
          <w:u w:val="single" w:color="auto"/>
          <w:color w:val="auto"/>
        </w:rPr>
        <w:t>Schedule F</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SpinCo Accounts</w:t>
      </w:r>
      <w:r>
        <w:rPr>
          <w:rFonts w:ascii="Times New Roman" w:cs="Times New Roman" w:eastAsia="Times New Roman" w:hAnsi="Times New Roman"/>
          <w:sz w:val="18"/>
          <w:szCs w:val="18"/>
          <w:color w:val="auto"/>
        </w:rPr>
        <w:t>”) and all Contracts or agreements governing each bank or brokerage account owned by the Company or any other member of the RemainCo Group as of the Distribution Effective Time (collectively, the “</w:t>
      </w:r>
      <w:r>
        <w:rPr>
          <w:rFonts w:ascii="Times New Roman" w:cs="Times New Roman" w:eastAsia="Times New Roman" w:hAnsi="Times New Roman"/>
          <w:sz w:val="18"/>
          <w:szCs w:val="18"/>
          <w:u w:val="single" w:color="auto"/>
          <w:color w:val="auto"/>
        </w:rPr>
        <w:t>RemainCo Accounts</w:t>
      </w:r>
      <w:r>
        <w:rPr>
          <w:rFonts w:ascii="Times New Roman" w:cs="Times New Roman" w:eastAsia="Times New Roman" w:hAnsi="Times New Roman"/>
          <w:sz w:val="18"/>
          <w:szCs w:val="18"/>
          <w:color w:val="auto"/>
        </w:rPr>
        <w:t>”) so that each such SpinCo Account and RemainCo Account, if currently linked (whether by automatic withdrawal, automatic deposit or any other authorization to transfer funds from or to) (“</w:t>
      </w:r>
      <w:r>
        <w:rPr>
          <w:rFonts w:ascii="Times New Roman" w:cs="Times New Roman" w:eastAsia="Times New Roman" w:hAnsi="Times New Roman"/>
          <w:sz w:val="18"/>
          <w:szCs w:val="18"/>
          <w:u w:val="single" w:color="auto"/>
          <w:color w:val="auto"/>
        </w:rPr>
        <w:t>Linked</w:t>
      </w:r>
      <w:r>
        <w:rPr>
          <w:rFonts w:ascii="Times New Roman" w:cs="Times New Roman" w:eastAsia="Times New Roman" w:hAnsi="Times New Roman"/>
          <w:sz w:val="18"/>
          <w:szCs w:val="18"/>
          <w:color w:val="auto"/>
        </w:rPr>
        <w:t xml:space="preserve">”) to any RemainCo Account or SpinCo Account, respectively, is de-Linked from such RemainCo Account or SpinCo Account, respectively. The respective owner or legal custodian of each SpinCo Account or RemainCo Account as of the Distribution Effective Time shall continue to own such SpinCo Account or RemainCo Account, as applicable, including all cash and cash equivalents contained therein. It is intended that, following consummation of the actions contemplated by this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there will be in place a cash management process pursuant to which (i) the SpinCo Accounts will be managed and funds collected will be transferred into one (1) or more accounts maintained by SpinCo or a member of the SpinCo Group and (ii) the RemainCo Accounts will be managed and funds collected will be transferred into one (1) or more accounts maintained by the Company or a member of the RemainCo Group.</w:t>
      </w:r>
    </w:p>
    <w:p>
      <w:pPr>
        <w:spacing w:after="0" w:line="189" w:lineRule="exact"/>
        <w:rPr>
          <w:rFonts w:ascii="Times New Roman" w:cs="Times New Roman" w:eastAsia="Times New Roman" w:hAnsi="Times New Roman"/>
          <w:sz w:val="18"/>
          <w:szCs w:val="18"/>
          <w:color w:val="auto"/>
        </w:rPr>
      </w:pPr>
    </w:p>
    <w:p>
      <w:pPr>
        <w:ind w:right="60" w:firstLine="1428"/>
        <w:spacing w:after="0" w:line="261" w:lineRule="auto"/>
        <w:tabs>
          <w:tab w:leader="none" w:pos="167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outstanding checks issued or payments initiated by the Company, SpinCo, or any of the members of their respective Groups prior to the Distribution Effective Time, such outstanding checks and payments shall be honored following the Distribution Effective Time by the Person or Group owning the account on which the check is drawn or from which the payment was initiated, respectively, without limiting the ultimate allocation of Liability for such amounts under this Agreement or the Transition Services Agreement.</w:t>
      </w:r>
    </w:p>
    <w:p>
      <w:pPr>
        <w:spacing w:after="0" w:line="179" w:lineRule="exact"/>
        <w:rPr>
          <w:rFonts w:ascii="Times New Roman" w:cs="Times New Roman" w:eastAsia="Times New Roman" w:hAnsi="Times New Roman"/>
          <w:sz w:val="18"/>
          <w:szCs w:val="18"/>
          <w:color w:val="auto"/>
        </w:rPr>
      </w:pPr>
    </w:p>
    <w:p>
      <w:pPr>
        <w:ind w:right="120" w:firstLine="1428"/>
        <w:spacing w:after="0" w:line="256" w:lineRule="auto"/>
        <w:tabs>
          <w:tab w:leader="none" w:pos="16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Company and SpinCo (and the members of their respective Groups), except to the extent prohibited by applicable Law, all payments made and reimbursements received after the Distribution Effective Time by either the Company or SpinCo (or any member of their respective Groups) that relate to a Business, Asset or Liability of the other Party (or member of its Group), shall be held by such Party in trust for the use and benefit of the Party entitled thereto and, promptly following receipt by such Party of any such payment or reimbursement, such Party shall pay over, or shall cause the applicable member of its Group to pay over, to the other Party (or a member of such other Party’s Group) the amount of such payment or reimbursement without right of set-off.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48" w:name="page49"/>
    <w:bookmarkEnd w:id="48"/>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Times New Roman" w:cs="Times New Roman" w:eastAsia="Times New Roman" w:hAnsi="Times New Roman"/>
          <w:sz w:val="18"/>
          <w:szCs w:val="18"/>
          <w:u w:val="single" w:color="auto"/>
          <w:color w:val="auto"/>
        </w:rPr>
        <w:t>Disclaimer of Representations and Warranties</w:t>
      </w:r>
      <w:r>
        <w:rPr>
          <w:rFonts w:ascii="Times New Roman" w:cs="Times New Roman" w:eastAsia="Times New Roman" w:hAnsi="Times New Roman"/>
          <w:sz w:val="18"/>
          <w:szCs w:val="18"/>
          <w:color w:val="auto"/>
        </w:rPr>
        <w:t>. EACH OF THE COMPANY (ON BEHALF OF ITSELF AND EACH MEMBER OF THE REMAINCO GROUP) AND SPINCO (ON BEHALF OF ITSELF AND EACH MEMBER OF THE SPINCO GROUP) UNDERSTANDS AND AGREES THAT, EXCEPT AS EXPRESSLY SET FORTH HEREIN, IN THE TRANSITION SERVICES AGREEMENT OR IN ANY CONTINUING ARRANGEMENT, NO PARTY TO THIS AGREEMENT OR THE TRANSITION SERVICES AGREEMENT OR ANY OTHER AGREEMENT OR DOCUMENT CONTEMPLATED BY THIS AGREEMENT, THE TRANSITION SERVICES AGREEMENT OR OTHERWISE, IS REPRESENTING OR WARRANTING TO ANY OTHER PARTY HERETO OR THERETO IN ANY WAY, EXPRESS OR IMPLIED, AS TO THE ASSETS, BUSINESSES OR LIABILITIES CONTRIBUTED, TRANSFERRED OR ASSUMED AS CONTEMPLATED HEREBY OR THEREBY, AS TO ANY CONSENTS OR GOVERNMENTAL APPROVALS REQUIRED IN CONNECTION HEREWITH OR THEREWITH, AS TO THE VALUE OR FREEDOM FROM ANY SECURITY INTERESTS, RESTRICTIONS ON TRANSFER, ENCUMBRANCE OR LIEN, NON-INFRINGEMENT, OR ANY OTHER MATTER CONCERNING, ANY ASSETS, BUSINESSES OR LIABILITIES OF SUCH PARTY, OR AS TO THE ABSENCE OF ANY DEFENSES OR RIGHT OF SETOFF OR FREEDOM FROM COUNTERCLAIM WITH RESPECT TO ANY ACTION OR OTHER ASSET, INCLUDING ACCOUNTS RECEIVABLE, OF EITHER PARTY, OR AS TO THE LEGAL SUFFICIENCY OF ANY CONTRIBUTION, ASSIGNMENT, DOCUMENT, CERTIFICATE OR INSTRUMENT DELIVERED HEREUNDER OR THEREUNDER TO CONVEY TITLE TO ANY ASSET OR THING OF VALUE UPON THE EXECUTION, DELIVERY AND FILING HEREOF OR THEREOF. EXCEPT AS MAY EXPRESSLY BE SET FORTH HEREIN OR THEREIN, IN THE TRANSITION SERVICES AGREEMENT OR IN ANY CONTINUING ARRANGEMENT, ALL SUCH ASSETS ARE BEING OR HAVE BEEN TRANSFERRED ON AN “AS IS, WHERE IS” BASIS (AND, IN THE CASE OF ANY REAL PROPERTY, BY MEANS OF A QUITCLAIM OR SIMILAR FORM, DEED OR CONVEYANCE WITHOUT WARRANTY) AND THE RESPECTIVE TRANSFEREES SHALL BEAR THE ECONOMIC AND LEGAL RISKS THAT (A) ANY CONVEYANCE SHALL PROVE TO BE INSUFFICIENT TO VEST IN THE TRANSFEREE GOOD AND VALID TITLE OR INTEREST, FREE AND CLEAR OF ANY SECURITY INTEREST, RESTRICTIONS ON TRANSFER, ENCUMBRANCE, CHARGE, ASSESSMENT OR LIEN AND (B) ANY NECESSARY CONSENTS OR GOVERNMENTAL APPROVALS ARE NOT OBTAINED OR THAT ANY REQUIREMENTS OF LAWS OR JUDGMENTS ARE NOT COMPLIED WITH. NO PARTY SHALL HAVE ANY LIABILITY TO THE OTHER PARTY IN THE EVENT THAT ANY INFORMATION EXCHANGED OR PROVIDED PURSUANT TO THIS AGREEMENT WHICH IS AN ESTIMATE OR FORECAST, OR WHICH IS BASED ON AN ESTIMATE OR FORECAST, IS FOUND TO BE INACCURATE.</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70" w:right="49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Actions on or Prior to the Distribution Date</w:t>
      </w:r>
      <w:r>
        <w:rPr>
          <w:rFonts w:ascii="Times New Roman" w:cs="Times New Roman" w:eastAsia="Times New Roman" w:hAnsi="Times New Roman"/>
          <w:sz w:val="18"/>
          <w:szCs w:val="18"/>
          <w:color w:val="auto"/>
        </w:rPr>
        <w:t xml:space="preserve">. Prior to the Distribution Date, and as promptly as reasonably practicable, the Company and SpinCo shall prepare and, in accordance with applicable Law, file with the SEC the Spin-Off Registration Statement, including amendments, supplements and any such other documentation which is necessary or desirable to effectuate the Distribution, and the Company and SpinCo shall each use reasonable best efforts to obtain all necessary approvals from the SEC with respect thereto as soon as practicable. The Company and SpinCo shall prepare, file with the SEC and cause to become effective any registration statements or amendments thereto required to effect the establishment of, or amendments to, any employee benefit and other plans necessary or appropriate in connection with the transactions contemplated by this Agreement. The Parties acknowledge and agree that the documents prepared and filed with the SEC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disclose the Intended Tax Treatment in the applicable U.S. federal income tax disclosure filed therewith and that such disclosure shall not assert an alternative tax treatment in respect of the Distribution.</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61" w:lineRule="auto"/>
        <w:tabs>
          <w:tab w:leader="none" w:pos="167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Distribution Date, the Company shall instruct the Company’s stock transfer agent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to effect the Distribution by distributing SpinCo Common Stock to holders of record of Company Common Stock as of the Distribution Record Date, and to credit the appropriate number of such SpinCo Common Stock to book-entry accounts for each such holder of Company Common Stock, as further contemplated by this Agreement.</w:t>
      </w:r>
    </w:p>
    <w:p>
      <w:pPr>
        <w:spacing w:after="0" w:line="179" w:lineRule="exact"/>
        <w:rPr>
          <w:rFonts w:ascii="Times New Roman" w:cs="Times New Roman" w:eastAsia="Times New Roman" w:hAnsi="Times New Roman"/>
          <w:sz w:val="18"/>
          <w:szCs w:val="18"/>
          <w:color w:val="auto"/>
        </w:rPr>
      </w:pPr>
    </w:p>
    <w:p>
      <w:pPr>
        <w:ind w:right="200" w:firstLine="1428"/>
        <w:spacing w:after="0" w:line="253" w:lineRule="auto"/>
        <w:tabs>
          <w:tab w:leader="none" w:pos="16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Common Stock to be issued in the Distribution is generally intended to be distributed pursuant to a book-entry system. The Company shall instruct the Agent to deliver the SpinCo Common Stock previously delivered to the Agent to a depositary and to mail (or otherwise transmit in accordance with the Agent’s regular practices) to each holder of record of Company Common Stock on the Distribution Record Date, a statement of the SpinCo Common Stock credited to such holder’s account. In lieu of fractional shares, cash shall be given to holders otherwise entitled to such fractional shares of SpinCo Common Stock on the Distribution Date. As soon as practicable following the Distribution Date, (i) the Agent shall aggregate all fractional SpinCo Common Stock into whole SpinCo Common Stock, and (ii) at the Company’s election, the Company shall either (A) distribute to each such holder such holder’s ratable share of the aggregate value of such SpinCo Common Stock, calculated as though such SpinCo Common Stock were sold in the open market at the then-prevailing prices, or (B) instruct the Agent to sell such SpinCo Common Stock in the open market at then-prevailing prices and shall distribute to each such holder such holder’s ratable share of the proceeds of such sale, net of brokerage fees incurred in such sales, and after deducting any Taxes required to be withheld therefrom.</w:t>
      </w:r>
    </w:p>
    <w:p>
      <w:pPr>
        <w:spacing w:after="0" w:line="194"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SpinCo Organization Documents</w:t>
      </w:r>
      <w:r>
        <w:rPr>
          <w:rFonts w:ascii="Times New Roman" w:cs="Times New Roman" w:eastAsia="Times New Roman" w:hAnsi="Times New Roman"/>
          <w:sz w:val="18"/>
          <w:szCs w:val="18"/>
          <w:color w:val="auto"/>
        </w:rPr>
        <w:t xml:space="preserve">. On or prior to the Distribution Date, SpinCo shall have taken all necessary actions to provide for the adoption of the form Certificate of Incorporation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form of SpinCo Bylaws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as such exhibit may be amended, supplemented or otherwise modified by SpinCo with the prior written consent of the Company (not to be unreasonably withheld, conditioned or delayed).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66" w:right="439" w:bottom="1440" w:gutter="0" w:footer="0" w:header="0"/>
        </w:sectPr>
      </w:pPr>
    </w:p>
    <w:bookmarkStart w:id="50" w:name="page51"/>
    <w:bookmarkEnd w:id="50"/>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3.4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On or prior to the Distribution Date, the Company and SpinCo shall have taken all necessary action to cause the board of directors of SpinCo to consist of the individuals identified by SpinCo to the Company prior to the Distribution, including the resignation or removal of any individuals not so identified.</w:t>
      </w:r>
    </w:p>
    <w:p>
      <w:pPr>
        <w:spacing w:after="0" w:line="176"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Election of Officers</w:t>
      </w:r>
      <w:r>
        <w:rPr>
          <w:rFonts w:ascii="Times New Roman" w:cs="Times New Roman" w:eastAsia="Times New Roman" w:hAnsi="Times New Roman"/>
          <w:sz w:val="18"/>
          <w:szCs w:val="18"/>
          <w:color w:val="auto"/>
        </w:rPr>
        <w:t>. On or prior to the Distribution Date, SpinCo shall take all actions necessary and desirable so that, as of the Distribution Date, the executive officers of SpinCo will be as set forth in the Spin-Off Registration Statement, including the resignation or removal of any individuals not so identified.</w:t>
      </w:r>
    </w:p>
    <w:p>
      <w:pPr>
        <w:spacing w:after="0" w:line="176"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State Securities Laws</w:t>
      </w:r>
      <w:r>
        <w:rPr>
          <w:rFonts w:ascii="Times New Roman" w:cs="Times New Roman" w:eastAsia="Times New Roman" w:hAnsi="Times New Roman"/>
          <w:sz w:val="17"/>
          <w:szCs w:val="17"/>
          <w:color w:val="auto"/>
        </w:rPr>
        <w:t>. Prior to the Distribution Date, the Company and SpinCo shall take all such action as may be necessary or appropriate under the securities or “blue sky” laws of states or other political subdivisions of the United States in order to effect the Distribution.</w:t>
      </w:r>
    </w:p>
    <w:p>
      <w:pPr>
        <w:spacing w:after="0" w:line="14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Listing Application</w:t>
      </w:r>
      <w:r>
        <w:rPr>
          <w:rFonts w:ascii="Times New Roman" w:cs="Times New Roman" w:eastAsia="Times New Roman" w:hAnsi="Times New Roman"/>
          <w:sz w:val="18"/>
          <w:szCs w:val="18"/>
          <w:color w:val="auto"/>
        </w:rPr>
        <w:t>. Prior to the Distribution Date, the Company and SpinCo shall prepare and file with a National Securities Exchange a listing application and related documents and shall take all such other actions with respect thereto as shall be necessary or desirable in order to cause such National Securities Exchange to list on or prior to the Distribution Date, subject to official notice of issuance, the SpinCo Common Stock. The Company and SpinCo agree that, at SpinCo’s option, SpinCo may list its shares for trading under the ticker symbol “ANAB” and the Company shall use reasonable best efforts to assist SpinCo in transferring the ticker symbol “ANAB” to SpinCo.</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anything in this Agreement to the contrary, each Party shall be entitled to deduct and withhold, or cause any paying agent of such Party to deduct and withhold, from any amounts payable or otherwise distributable in accordance with this Agreement, such amounts as are required to be deducted or withheld therefrom in accordance with the Code, or any other applicable federal, state, local or non-U.S. Tax Law. In the case of a distribution that is subject to withholding, the distributing party may withhold an appropriate portion of such distributed property and either (a) sell such withheld property to generate cash necessary to pay over the withholding tax or (b) pay the withholding tax using its own funds and retain such withheld property. To the extent such amounts are properly and timely deducted or withheld in accordance with applicable Law, such amounts will be treated for all purposes under this Agreement or any other agreement as having been paid to, or distributed and received by, the Person to whom such amounts would otherwise have been paid or distributed.</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440" w:top="270" w:right="51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COVENANTS; FURTHER ASSURANCES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RemainCo Names and Marks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6" w:lineRule="auto"/>
        <w:tabs>
          <w:tab w:leader="none" w:pos="16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Distribution Date, the Company, on behalf of itself, hereby grants to SpinCo and each member of the SpinCo Group a worldwide, non-exclusive, non-transferable (except as otherwise set forth herein), royalty-free, fully paid-up license to use and display the RemainCo Names and Marks, solely to the extent necessary to transition from uses of such RemainCo Names and Marks in the SpinCo Business, including in connection with email addresses and IT Systems identifiers, in product designations (e.g. ANB033 and ANB101), for clinical trials, for regulatory purposes and communications, to exhaust existing inventories and supplies, on signage and materials owned or possessed by SpinCo as of the Distribution Date, and as otherwise required to comply with applicable Law.</w:t>
      </w:r>
    </w:p>
    <w:p>
      <w:pPr>
        <w:spacing w:after="0" w:line="187" w:lineRule="exact"/>
        <w:rPr>
          <w:rFonts w:ascii="Times New Roman" w:cs="Times New Roman" w:eastAsia="Times New Roman" w:hAnsi="Times New Roman"/>
          <w:sz w:val="18"/>
          <w:szCs w:val="18"/>
          <w:color w:val="auto"/>
        </w:rPr>
      </w:pPr>
    </w:p>
    <w:p>
      <w:pPr>
        <w:ind w:right="20" w:firstLine="1428"/>
        <w:spacing w:after="0" w:line="254" w:lineRule="auto"/>
        <w:tabs>
          <w:tab w:leader="none" w:pos="16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reasonably practicable, but in any event within two (2) years after the Distribution Date, SpinCo shall endeavor to, and to cause its Subsidiaries to: (i) take all action necessary to change the corporate name of each entity that includes a RemainCo Name and Mark to a name that is not confusingly similar to any RemainCo Name and Mark and (ii) eliminate the RemainCo Names and Marks from, revise, paint over or otherwise obscure the RemainCo Names and Marks, on any signage or other public-facing materials (including any publicly distributable documents and other digital or physical public-facing materials bearing the RemainCo Names and Marks) owned or controlled by SpinCo or any of its Subsidiaries after the Distribution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even after such period SpinCo shall be permitted to (x) exhaust all inventory featuring the RemainCo Names and Marks and (y) continue all uses of the RemainCo Names and Marks that are required to comply with regulatory requirements or applicable Law. Notwithstanding the foregoing, nothing shall restrict or limit SpinCo or any of its Subsidiaries from using or referencing the RemainCo Names and Marks to factually describe or provide information regarding the historical relationship of the Royalty Business to SpinCo and the SpinCo Group.</w:t>
      </w:r>
    </w:p>
    <w:p>
      <w:pPr>
        <w:spacing w:after="0" w:line="188" w:lineRule="exact"/>
        <w:rPr>
          <w:rFonts w:ascii="Times New Roman" w:cs="Times New Roman" w:eastAsia="Times New Roman" w:hAnsi="Times New Roman"/>
          <w:sz w:val="18"/>
          <w:szCs w:val="18"/>
          <w:color w:val="auto"/>
        </w:rPr>
      </w:pPr>
    </w:p>
    <w:p>
      <w:pPr>
        <w:ind w:right="460" w:firstLine="1428"/>
        <w:spacing w:after="0" w:line="266" w:lineRule="auto"/>
        <w:tabs>
          <w:tab w:leader="none" w:pos="16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not, and shall cause each of its Subsidiaries not to, use the RemainCo Names and Marks in any manner that is reasonably likely to (i) harm or impair the goodwill associated with any of the RemainCo Names and Marks or (ii) compromise the validity of, or RemainCo’s ability to enforce, any of the RemainCo Names and Marks.</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Intellectual Property Recordation</w:t>
      </w:r>
      <w:r>
        <w:rPr>
          <w:rFonts w:ascii="Times New Roman" w:cs="Times New Roman" w:eastAsia="Times New Roman" w:hAnsi="Times New Roman"/>
          <w:sz w:val="18"/>
          <w:szCs w:val="18"/>
          <w:color w:val="auto"/>
        </w:rPr>
        <w:t xml:space="preserve">. The Company and SpinCo shall, and shall cause any members of their respective Groups to, promptly after the Distribution Date, but in no event later than twenty-one (21) business days thereafter, sign and execute all additional documents and undertake all other actions reasonably required or advisable to effectuate and register the ownership of all Intellectual Property (x) owned by SpinCo or any member of the SpinCo Group, on the one hand, or (y) owned by the Company or any member of the RemainCo Group, on the other, that is intended to be transferred to the other Party or a member of the other Party’s Group,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in the United States Patent and Trademark Office and United States Copyright Office and all foreign equivalents thereof. Without limiting the foregoing, each of the Company and SpinCo acknowledges that, after the Distribution Date, the other Party is free to maintain, abandon, sell or assign all such Intellectual Property at its sole discretion without any consent of such Party.</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00" w:firstLine="1428"/>
        <w:spacing w:after="0" w:line="282" w:lineRule="auto"/>
        <w:tabs>
          <w:tab w:leader="none" w:pos="167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Current Employees</w:t>
      </w:r>
      <w:r>
        <w:rPr>
          <w:rFonts w:ascii="Times New Roman" w:cs="Times New Roman" w:eastAsia="Times New Roman" w:hAnsi="Times New Roman"/>
          <w:sz w:val="18"/>
          <w:szCs w:val="18"/>
          <w:color w:val="auto"/>
        </w:rPr>
        <w:t>. As part of the Pre-Closing Reorganization, and prior to the Distribution Effective Time, RemainCo Group shall transfer and assign the employment of each Transferred Employee to a member of the SpinCo Group.</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52" w:name="page53"/>
    <w:bookmarkEnd w:id="52"/>
    <w:p>
      <w:pPr>
        <w:ind w:right="80" w:firstLine="1979"/>
        <w:spacing w:after="0" w:line="266" w:lineRule="auto"/>
        <w:tabs>
          <w:tab w:leader="none" w:pos="21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Severance</w:t>
      </w:r>
      <w:r>
        <w:rPr>
          <w:rFonts w:ascii="Times New Roman" w:cs="Times New Roman" w:eastAsia="Times New Roman" w:hAnsi="Times New Roman"/>
          <w:sz w:val="18"/>
          <w:szCs w:val="18"/>
          <w:color w:val="auto"/>
        </w:rPr>
        <w:t>. The Parties agree that the transfer of each Transferred Employee’s employment to a member of the SpinCo Group shall not be deemed to be a termination of employment by the applicable member of the RemainCo Group and shall not trigger any obligation to pay severance, separation pay, salary continuation or other similar benefits to such Transferred Employee.</w:t>
      </w:r>
    </w:p>
    <w:p>
      <w:pPr>
        <w:spacing w:after="0" w:line="175" w:lineRule="exact"/>
        <w:rPr>
          <w:rFonts w:ascii="Times New Roman" w:cs="Times New Roman" w:eastAsia="Times New Roman" w:hAnsi="Times New Roman"/>
          <w:sz w:val="18"/>
          <w:szCs w:val="18"/>
          <w:color w:val="auto"/>
        </w:rPr>
      </w:pPr>
    </w:p>
    <w:p>
      <w:pPr>
        <w:ind w:firstLine="1979"/>
        <w:spacing w:after="0" w:line="258" w:lineRule="auto"/>
        <w:tabs>
          <w:tab w:leader="none" w:pos="22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Arrangements</w:t>
      </w:r>
      <w:r>
        <w:rPr>
          <w:rFonts w:ascii="Times New Roman" w:cs="Times New Roman" w:eastAsia="Times New Roman" w:hAnsi="Times New Roman"/>
          <w:sz w:val="18"/>
          <w:szCs w:val="18"/>
          <w:color w:val="auto"/>
        </w:rPr>
        <w:t xml:space="preserve">. SpinCo will assume and honor all the Transferred Plans;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set forth on </w:t>
      </w:r>
      <w:r>
        <w:rPr>
          <w:rFonts w:ascii="Times New Roman" w:cs="Times New Roman" w:eastAsia="Times New Roman" w:hAnsi="Times New Roman"/>
          <w:sz w:val="18"/>
          <w:szCs w:val="18"/>
          <w:u w:val="single" w:color="auto"/>
          <w:color w:val="auto"/>
        </w:rPr>
        <w:t>Schedule J</w:t>
      </w:r>
      <w:r>
        <w:rPr>
          <w:rFonts w:ascii="Times New Roman" w:cs="Times New Roman" w:eastAsia="Times New Roman" w:hAnsi="Times New Roman"/>
          <w:sz w:val="18"/>
          <w:szCs w:val="18"/>
          <w:color w:val="auto"/>
        </w:rPr>
        <w:t xml:space="preserve">, any indemnification obligations for Company directors or officers regarding any actions taken prior to the Distribution Effective Time, including with respect to the transactions contemplated hereby, shall in the first instance be the responsibility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provision shall amend, modify or abrogate in any way any Liabilities indemnifiable by RemainCo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SpinCo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140" w:firstLine="1979"/>
        <w:spacing w:after="0" w:line="282" w:lineRule="auto"/>
        <w:tabs>
          <w:tab w:leader="none" w:pos="22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The Parties acknowledge and agree that the consummation of the transactions contemplated by this Agreement shall not be a “change in control,” or term of similar import for purposes of any Transferred Plans or any of the RemainCo Plans.</w:t>
      </w:r>
    </w:p>
    <w:p>
      <w:pPr>
        <w:spacing w:after="0" w:line="161" w:lineRule="exact"/>
        <w:rPr>
          <w:rFonts w:ascii="Times New Roman" w:cs="Times New Roman" w:eastAsia="Times New Roman" w:hAnsi="Times New Roman"/>
          <w:sz w:val="18"/>
          <w:szCs w:val="18"/>
          <w:color w:val="auto"/>
        </w:rPr>
      </w:pPr>
    </w:p>
    <w:p>
      <w:pPr>
        <w:ind w:firstLine="1979"/>
        <w:spacing w:after="0" w:line="261" w:lineRule="auto"/>
        <w:tabs>
          <w:tab w:leader="none" w:pos="228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Status</w:t>
      </w:r>
      <w:r>
        <w:rPr>
          <w:rFonts w:ascii="Times New Roman" w:cs="Times New Roman" w:eastAsia="Times New Roman" w:hAnsi="Times New Roman"/>
          <w:sz w:val="18"/>
          <w:szCs w:val="18"/>
          <w:color w:val="auto"/>
        </w:rPr>
        <w:t>. Nothing in this Agreement shall create any obligation on the part of any member of the RemainCo Group or any member of the SpinCo Group to (A) continue the employment of any Current Employee or permit the return from a leave of absence for any period following the date of this Agreement or the Distribution Effective Time (except as required by applicable Law) or (B) change the employment status of any Current Employee from “at-will”.</w:t>
      </w:r>
    </w:p>
    <w:p>
      <w:pPr>
        <w:spacing w:after="0" w:line="179" w:lineRule="exact"/>
        <w:rPr>
          <w:rFonts w:ascii="Times New Roman" w:cs="Times New Roman" w:eastAsia="Times New Roman" w:hAnsi="Times New Roman"/>
          <w:sz w:val="18"/>
          <w:szCs w:val="18"/>
          <w:color w:val="auto"/>
        </w:rPr>
      </w:pPr>
    </w:p>
    <w:p>
      <w:pPr>
        <w:ind w:right="20" w:firstLine="1428"/>
        <w:spacing w:after="0" w:line="254" w:lineRule="auto"/>
        <w:tabs>
          <w:tab w:leader="none" w:pos="16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Transferred Plans; COBRA</w:t>
      </w:r>
      <w:r>
        <w:rPr>
          <w:rFonts w:ascii="Times New Roman" w:cs="Times New Roman" w:eastAsia="Times New Roman" w:hAnsi="Times New Roman"/>
          <w:sz w:val="18"/>
          <w:szCs w:val="18"/>
          <w:color w:val="auto"/>
        </w:rPr>
        <w:t>. Except as provided otherwise in the Transition Services Agreement, the Parties shall take any and all action as shall be necessary or appropriate such that, effective as of the Distribution Effective Time or such later date as contemplated by the terms of the applicable Transferred Plan or as required by applicable Law, the Company and each member of the RemainCo Group, to the extent applicable, shall cease to be a participating company in any Transferred Plan (if applicable). SpinCo shall remain responsible for compliance with the health care continuation coverage requirements of COBRA or other similar Law with respect to any current or former employee of the Company or its Affiliates who incurred a “qualifying event” under COBRA or other similar Law on or prior to the Distribution Effective Time. The Parties agree that neither the Distribution nor any transfers of employment from the Company to the SpinCo Group that occur as contemplated by this Agreement shall constitute a “qualifying event” for purposes of COBRA.</w:t>
      </w:r>
    </w:p>
    <w:p>
      <w:pPr>
        <w:spacing w:after="0" w:line="191" w:lineRule="exact"/>
        <w:rPr>
          <w:rFonts w:ascii="Times New Roman" w:cs="Times New Roman" w:eastAsia="Times New Roman" w:hAnsi="Times New Roman"/>
          <w:sz w:val="18"/>
          <w:szCs w:val="18"/>
          <w:color w:val="auto"/>
        </w:rPr>
      </w:pPr>
    </w:p>
    <w:p>
      <w:pPr>
        <w:ind w:right="40" w:firstLine="1428"/>
        <w:spacing w:after="0" w:line="256" w:lineRule="auto"/>
        <w:tabs>
          <w:tab w:leader="none" w:pos="16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Covenants</w:t>
      </w:r>
      <w:r>
        <w:rPr>
          <w:rFonts w:ascii="Times New Roman" w:cs="Times New Roman" w:eastAsia="Times New Roman" w:hAnsi="Times New Roman"/>
          <w:sz w:val="18"/>
          <w:szCs w:val="18"/>
          <w:color w:val="auto"/>
        </w:rPr>
        <w:t>. For the purposes of any restrictive covenant, in any Benefit Plan or any award thereunder, (i) neither SpinCo nor any member of the SpinCo Group shall be regarded as a “competitive entity” for any SpinCo Employees, (ii) working for the SpinCo Group will not breach any non-solicit or confidentiality provisions and (iii) the transfer of the SpinCo Employees’ employment to SpinCo by virtue of the Pre-Closing Reorganization will be deemed not to be a breach of any non-solicitation covenant. RemainCo Group shall enforce any restrictive covenant provisions, including without limitation non-competition, non-solicitation, Intellectual Property and confidentiality covenant, in Benefit Plans and awards thereunder against any SpinCo Employee whose employment with SpinCo terminates after the Distribution Effective Time.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53" w:name="page54"/>
    <w:bookmarkEnd w:id="53"/>
    <w:p>
      <w:pPr>
        <w:ind w:left="1680" w:hanging="252"/>
        <w:spacing w:after="0"/>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Treatment of Incentive Plans Awards; Cash Bonus Plans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1979"/>
        <w:spacing w:after="0" w:line="253" w:lineRule="auto"/>
        <w:tabs>
          <w:tab w:leader="none" w:pos="219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Prior to the Distribution, the Company and SpinCo shall take any action as shall be necessary or appropriate to provide that, in connection with and effective as of the Distribution, (A) each outstanding option to purchase Company Common Stock granted under the Incentive Plans (a “</w:t>
      </w:r>
      <w:r>
        <w:rPr>
          <w:rFonts w:ascii="Times New Roman" w:cs="Times New Roman" w:eastAsia="Times New Roman" w:hAnsi="Times New Roman"/>
          <w:sz w:val="18"/>
          <w:szCs w:val="18"/>
          <w:u w:val="single" w:color="auto"/>
          <w:color w:val="auto"/>
        </w:rPr>
        <w:t>Pre-Spin Company Option</w:t>
      </w:r>
      <w:r>
        <w:rPr>
          <w:rFonts w:ascii="Times New Roman" w:cs="Times New Roman" w:eastAsia="Times New Roman" w:hAnsi="Times New Roman"/>
          <w:sz w:val="18"/>
          <w:szCs w:val="18"/>
          <w:color w:val="auto"/>
        </w:rPr>
        <w:t>”) shall be adjusted so that such option is an option to acquire SpinCo Common Stock (a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and an option to acquire Company Common Stock (a “</w:t>
      </w:r>
      <w:r>
        <w:rPr>
          <w:rFonts w:ascii="Times New Roman" w:cs="Times New Roman" w:eastAsia="Times New Roman" w:hAnsi="Times New Roman"/>
          <w:sz w:val="18"/>
          <w:szCs w:val="18"/>
          <w:u w:val="single" w:color="auto"/>
          <w:color w:val="auto"/>
        </w:rPr>
        <w:t>Post-Spin Company Option</w:t>
      </w:r>
      <w:r>
        <w:rPr>
          <w:rFonts w:ascii="Times New Roman" w:cs="Times New Roman" w:eastAsia="Times New Roman" w:hAnsi="Times New Roman"/>
          <w:sz w:val="18"/>
          <w:szCs w:val="18"/>
          <w:color w:val="auto"/>
        </w:rPr>
        <w:t>”), (B) each outstanding restricted stock unit granted under the Incentive Plans that does not have any unachieved performance-based vesting conditions (a “</w:t>
      </w:r>
      <w:r>
        <w:rPr>
          <w:rFonts w:ascii="Times New Roman" w:cs="Times New Roman" w:eastAsia="Times New Roman" w:hAnsi="Times New Roman"/>
          <w:sz w:val="18"/>
          <w:szCs w:val="18"/>
          <w:u w:val="single" w:color="auto"/>
          <w:color w:val="auto"/>
        </w:rPr>
        <w:t>Pre-Spin Company RSU</w:t>
      </w:r>
      <w:r>
        <w:rPr>
          <w:rFonts w:ascii="Times New Roman" w:cs="Times New Roman" w:eastAsia="Times New Roman" w:hAnsi="Times New Roman"/>
          <w:sz w:val="18"/>
          <w:szCs w:val="18"/>
          <w:color w:val="auto"/>
        </w:rPr>
        <w:t>”) shall be adjusted so that such restricted stock unit is a restricted stock unit in respect of SpinCo Common Stock (a “</w:t>
      </w:r>
      <w:r>
        <w:rPr>
          <w:rFonts w:ascii="Times New Roman" w:cs="Times New Roman" w:eastAsia="Times New Roman" w:hAnsi="Times New Roman"/>
          <w:sz w:val="18"/>
          <w:szCs w:val="18"/>
          <w:u w:val="single" w:color="auto"/>
          <w:color w:val="auto"/>
        </w:rPr>
        <w:t>SpinCo RSU</w:t>
      </w:r>
      <w:r>
        <w:rPr>
          <w:rFonts w:ascii="Times New Roman" w:cs="Times New Roman" w:eastAsia="Times New Roman" w:hAnsi="Times New Roman"/>
          <w:sz w:val="18"/>
          <w:szCs w:val="18"/>
          <w:color w:val="auto"/>
        </w:rPr>
        <w:t>”) and a restricted stock unit in respect of Company Common Stock (a “</w:t>
      </w:r>
      <w:r>
        <w:rPr>
          <w:rFonts w:ascii="Times New Roman" w:cs="Times New Roman" w:eastAsia="Times New Roman" w:hAnsi="Times New Roman"/>
          <w:sz w:val="18"/>
          <w:szCs w:val="18"/>
          <w:u w:val="single" w:color="auto"/>
          <w:color w:val="auto"/>
        </w:rPr>
        <w:t>Post-Spin Company RSU</w:t>
      </w:r>
      <w:r>
        <w:rPr>
          <w:rFonts w:ascii="Times New Roman" w:cs="Times New Roman" w:eastAsia="Times New Roman" w:hAnsi="Times New Roman"/>
          <w:sz w:val="18"/>
          <w:szCs w:val="18"/>
          <w:color w:val="auto"/>
        </w:rPr>
        <w:t>”), and (C) each outstanding restricted stock unit granted under the Incentive Plans that has unachieved performance-based vesting conditions (a “</w:t>
      </w:r>
      <w:r>
        <w:rPr>
          <w:rFonts w:ascii="Times New Roman" w:cs="Times New Roman" w:eastAsia="Times New Roman" w:hAnsi="Times New Roman"/>
          <w:sz w:val="18"/>
          <w:szCs w:val="18"/>
          <w:u w:val="single" w:color="auto"/>
          <w:color w:val="auto"/>
        </w:rPr>
        <w:t>Pre-Spin Company PSU</w:t>
      </w:r>
      <w:r>
        <w:rPr>
          <w:rFonts w:ascii="Times New Roman" w:cs="Times New Roman" w:eastAsia="Times New Roman" w:hAnsi="Times New Roman"/>
          <w:sz w:val="18"/>
          <w:szCs w:val="18"/>
          <w:color w:val="auto"/>
        </w:rPr>
        <w:t>”) shall be adjusted so that such restricted stock unit is a restricted stock unit solely in respect of SpinCo Common Stock (a “</w:t>
      </w:r>
      <w:r>
        <w:rPr>
          <w:rFonts w:ascii="Times New Roman" w:cs="Times New Roman" w:eastAsia="Times New Roman" w:hAnsi="Times New Roman"/>
          <w:sz w:val="18"/>
          <w:szCs w:val="18"/>
          <w:u w:val="single" w:color="auto"/>
          <w:color w:val="auto"/>
        </w:rPr>
        <w:t>SpinCo PSU</w:t>
      </w:r>
      <w:r>
        <w:rPr>
          <w:rFonts w:ascii="Times New Roman" w:cs="Times New Roman" w:eastAsia="Times New Roman" w:hAnsi="Times New Roman"/>
          <w:sz w:val="18"/>
          <w:szCs w:val="18"/>
          <w:color w:val="auto"/>
        </w:rPr>
        <w:t xml:space="preserve">”), in each case as set forth below. Prior to the Distribution, SpinCo shall adopt an equity compensation plan under which the SpinCo Options and SpinCo RSUs shall be issued with terms consistent with this </w:t>
      </w:r>
      <w:r>
        <w:rPr>
          <w:rFonts w:ascii="Times New Roman" w:cs="Times New Roman" w:eastAsia="Times New Roman" w:hAnsi="Times New Roman"/>
          <w:sz w:val="18"/>
          <w:szCs w:val="18"/>
          <w:u w:val="single" w:color="auto"/>
          <w:color w:val="auto"/>
        </w:rPr>
        <w:t>Section 4.3(d)(i)</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80" w:firstLine="1979"/>
        <w:spacing w:after="0" w:line="258" w:lineRule="auto"/>
        <w:tabs>
          <w:tab w:leader="none" w:pos="22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Post-Spin Company Options</w:t>
      </w:r>
      <w:r>
        <w:rPr>
          <w:rFonts w:ascii="Times New Roman" w:cs="Times New Roman" w:eastAsia="Times New Roman" w:hAnsi="Times New Roman"/>
          <w:sz w:val="18"/>
          <w:szCs w:val="18"/>
          <w:color w:val="auto"/>
        </w:rPr>
        <w:t>. The number of shares of Company Common Stock underlying each Post-Spin Company Option shall equal the number of shares underlying the applicable Pre-Spin Company Option. The exercise price of each Post-Spin Company Option shall equal the product, rounded up to the nearest cent, of (A) the exercise price of the applicable Pre-Spin Company Option multiplied by (B) the quotient obtained by dividing (1) the RemainCo Per Share Value by (2) the Combined Per Share Value. The Post-Spin Company Option shall otherwise receive the same treatment, and be subject to the same terms and conditions, as the Pre-Spin Company Option.</w:t>
      </w:r>
    </w:p>
    <w:p>
      <w:pPr>
        <w:spacing w:after="0" w:line="183" w:lineRule="exact"/>
        <w:rPr>
          <w:rFonts w:ascii="Times New Roman" w:cs="Times New Roman" w:eastAsia="Times New Roman" w:hAnsi="Times New Roman"/>
          <w:sz w:val="18"/>
          <w:szCs w:val="18"/>
          <w:color w:val="auto"/>
        </w:rPr>
      </w:pPr>
    </w:p>
    <w:p>
      <w:pPr>
        <w:ind w:firstLine="1979"/>
        <w:spacing w:after="0" w:line="256" w:lineRule="auto"/>
        <w:tabs>
          <w:tab w:leader="none" w:pos="229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SpinCo Options</w:t>
      </w:r>
      <w:r>
        <w:rPr>
          <w:rFonts w:ascii="Times New Roman" w:cs="Times New Roman" w:eastAsia="Times New Roman" w:hAnsi="Times New Roman"/>
          <w:sz w:val="18"/>
          <w:szCs w:val="18"/>
          <w:color w:val="auto"/>
        </w:rPr>
        <w:t>. The number of shares of SpinCo Common Stock underlying each SpinCo Option shall equal the number of shares underlying the applicable Pre-Spin Company Option multiplied by the Distribution Ratio, the product of which shall be rounded down to the nearest whole number of shares. The exercise price of each SpinCo Option shall equal the price, rounded up to the nearest cent, determined by dividing (A) the product of (1) the exercise price of the Pre-Spin Company Option multiplied by (2) the quotient obtained by dividing (a) the SpinCo Per Share Value by (b) the Combined Per Share Value, by (B) the Distribution Ratio. Each SpinCo Option shall be otherwise subject to terms and conditions substantially the same as the applicable Pre-Spin Company Option.</w:t>
      </w:r>
    </w:p>
    <w:p>
      <w:pPr>
        <w:spacing w:after="0" w:line="187" w:lineRule="exact"/>
        <w:rPr>
          <w:rFonts w:ascii="Times New Roman" w:cs="Times New Roman" w:eastAsia="Times New Roman" w:hAnsi="Times New Roman"/>
          <w:sz w:val="18"/>
          <w:szCs w:val="18"/>
          <w:color w:val="auto"/>
        </w:rPr>
      </w:pPr>
    </w:p>
    <w:p>
      <w:pPr>
        <w:ind w:right="40" w:firstLine="1979"/>
        <w:spacing w:after="0" w:line="282" w:lineRule="auto"/>
        <w:tabs>
          <w:tab w:leader="none" w:pos="228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Post-Spin Company RSUs</w:t>
      </w:r>
      <w:r>
        <w:rPr>
          <w:rFonts w:ascii="Times New Roman" w:cs="Times New Roman" w:eastAsia="Times New Roman" w:hAnsi="Times New Roman"/>
          <w:sz w:val="18"/>
          <w:szCs w:val="18"/>
          <w:color w:val="auto"/>
        </w:rPr>
        <w:t>. The number of restricted stock units subject to each Post-Spin Company RSU shall equal the number of shares subject to the applicable Pre-Spin Company RSU.</w:t>
      </w:r>
    </w:p>
    <w:p>
      <w:pPr>
        <w:spacing w:after="0" w:line="161" w:lineRule="exact"/>
        <w:rPr>
          <w:rFonts w:ascii="Times New Roman" w:cs="Times New Roman" w:eastAsia="Times New Roman" w:hAnsi="Times New Roman"/>
          <w:sz w:val="18"/>
          <w:szCs w:val="18"/>
          <w:color w:val="auto"/>
        </w:rPr>
      </w:pPr>
    </w:p>
    <w:p>
      <w:pPr>
        <w:jc w:val="both"/>
        <w:ind w:right="300" w:firstLine="1979"/>
        <w:spacing w:after="0" w:line="266" w:lineRule="auto"/>
        <w:tabs>
          <w:tab w:leader="none" w:pos="223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SpinCo RSUs</w:t>
      </w:r>
      <w:r>
        <w:rPr>
          <w:rFonts w:ascii="Times New Roman" w:cs="Times New Roman" w:eastAsia="Times New Roman" w:hAnsi="Times New Roman"/>
          <w:sz w:val="18"/>
          <w:szCs w:val="18"/>
          <w:color w:val="auto"/>
        </w:rPr>
        <w:t>. The number of restricted stock units subject to each SpinCo RSU shall equal (1) the number of shares subject to the applicable Pre-Spin Company RSU multiplied by (2) the Distribution Ratio, the product of which shall be rounded down to the nearest whole number of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54" w:name="page55"/>
    <w:bookmarkEnd w:id="54"/>
    <w:p>
      <w:pPr>
        <w:ind w:left="4" w:right="200" w:firstLine="1979"/>
        <w:spacing w:after="0" w:line="276" w:lineRule="auto"/>
        <w:tabs>
          <w:tab w:leader="none" w:pos="229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SpinCo PSUs</w:t>
      </w:r>
      <w:r>
        <w:rPr>
          <w:rFonts w:ascii="Times New Roman" w:cs="Times New Roman" w:eastAsia="Times New Roman" w:hAnsi="Times New Roman"/>
          <w:sz w:val="17"/>
          <w:szCs w:val="17"/>
          <w:color w:val="auto"/>
        </w:rPr>
        <w:t>. The number of restricted stock units subject to each SpinCo PSU shall equal the number determined by multiplying (1) the product of (A) the number of shares subject to the applicable Pre-Spin Company PSU and (B) the quotient obtained by dividing</w:t>
      </w:r>
    </w:p>
    <w:p>
      <w:pPr>
        <w:ind w:left="4" w:right="220" w:hanging="4"/>
        <w:spacing w:after="0" w:line="253" w:lineRule="auto"/>
        <w:tabs>
          <w:tab w:leader="none" w:pos="2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 Share Value by (ii) the SpinCo Per Share Value by (2) the Distribution Ratio. The performance-based vesting conditions shall remain in place for the SpinCo PSUs provided that, the stock price hurdles shall be with respect to SpinCo Common Stock and shall be adjusted by dividing (A) the product of (i) the applicable hurdle and (ii) the quotient obtained by dividing (1) the SpinCo Per Share Value by (2) the Company Per Share Value by (B) the Distribution Ratio.</w:t>
      </w:r>
    </w:p>
    <w:p>
      <w:pPr>
        <w:spacing w:after="0" w:line="188" w:lineRule="exact"/>
        <w:rPr>
          <w:rFonts w:ascii="Times New Roman" w:cs="Times New Roman" w:eastAsia="Times New Roman" w:hAnsi="Times New Roman"/>
          <w:sz w:val="18"/>
          <w:szCs w:val="18"/>
          <w:color w:val="auto"/>
        </w:rPr>
      </w:pPr>
    </w:p>
    <w:p>
      <w:pPr>
        <w:ind w:left="4" w:firstLine="1979"/>
        <w:spacing w:after="0" w:line="256" w:lineRule="auto"/>
        <w:tabs>
          <w:tab w:leader="none" w:pos="234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Following the Distribution</w:t>
      </w:r>
      <w:r>
        <w:rPr>
          <w:rFonts w:ascii="Times New Roman" w:cs="Times New Roman" w:eastAsia="Times New Roman" w:hAnsi="Times New Roman"/>
          <w:sz w:val="18"/>
          <w:szCs w:val="18"/>
          <w:color w:val="auto"/>
        </w:rPr>
        <w:t>. Following the Distribution, if a change in control (based on the definition set forth in any long-term incentive plan of RemainCo or SpinCo, as applicable) of (A) RemainCo occurs, (i) all outstanding RemainCo equity awards shall accelerate and vest “single-trigger” and (ii) any RemainCo Employee who only works for RemainCo who experiences a “double-trigger” vesting event shall also vest into such RemainCo Employee’s SpinCo Options and SpinCo RSUs or (B) SpinCo occurs, any SpinCo Employee who only works for SpinCo who experiences a “double-trigger” vesting event shall also vest into such SpinCo Employee’s Post-Spin Company Options or Post-Spin Company RSUs.</w:t>
      </w:r>
    </w:p>
    <w:p>
      <w:pPr>
        <w:spacing w:after="0" w:line="187" w:lineRule="exact"/>
        <w:rPr>
          <w:rFonts w:ascii="Times New Roman" w:cs="Times New Roman" w:eastAsia="Times New Roman" w:hAnsi="Times New Roman"/>
          <w:sz w:val="18"/>
          <w:szCs w:val="18"/>
          <w:color w:val="auto"/>
        </w:rPr>
      </w:pPr>
    </w:p>
    <w:p>
      <w:pPr>
        <w:ind w:left="4" w:firstLine="1979"/>
        <w:spacing w:after="0" w:line="252" w:lineRule="auto"/>
        <w:tabs>
          <w:tab w:leader="none" w:pos="239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RemainCo Cash Dividend Following the Distribution</w:t>
      </w:r>
      <w:r>
        <w:rPr>
          <w:rFonts w:ascii="Times New Roman" w:cs="Times New Roman" w:eastAsia="Times New Roman" w:hAnsi="Times New Roman"/>
          <w:sz w:val="18"/>
          <w:szCs w:val="18"/>
          <w:color w:val="auto"/>
        </w:rPr>
        <w:t>. Following the Distribution, if RemainCo declares any cash dividend, each holder of a Post-Spin Company RSU shall be entitled to a cash payment for each such Post-Spin Company RSU equal to the value of such dividend (the “</w:t>
      </w:r>
      <w:r>
        <w:rPr>
          <w:rFonts w:ascii="Times New Roman" w:cs="Times New Roman" w:eastAsia="Times New Roman" w:hAnsi="Times New Roman"/>
          <w:sz w:val="18"/>
          <w:szCs w:val="18"/>
          <w:u w:val="single" w:color="auto"/>
          <w:color w:val="auto"/>
        </w:rPr>
        <w:t>RSU Dividend Payment</w:t>
      </w:r>
      <w:r>
        <w:rPr>
          <w:rFonts w:ascii="Times New Roman" w:cs="Times New Roman" w:eastAsia="Times New Roman" w:hAnsi="Times New Roman"/>
          <w:sz w:val="18"/>
          <w:szCs w:val="18"/>
          <w:color w:val="auto"/>
        </w:rPr>
        <w:t>”) on the date that is one year following the date of such dividend (the “</w:t>
      </w: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subject to continued service to SpinCo or RemainCo (as applicable) through such date. Following the Distribution, if RemainCo declares an extraordinary cash dividend, the exercise price of each Post-Spin Company Option shall be reduced by the value of such dividend (the “</w:t>
      </w:r>
      <w:r>
        <w:rPr>
          <w:rFonts w:ascii="Times New Roman" w:cs="Times New Roman" w:eastAsia="Times New Roman" w:hAnsi="Times New Roman"/>
          <w:sz w:val="18"/>
          <w:szCs w:val="18"/>
          <w:u w:val="single" w:color="auto"/>
          <w:color w:val="auto"/>
        </w:rPr>
        <w:t>Dividend Value</w:t>
      </w:r>
      <w:r>
        <w:rPr>
          <w:rFonts w:ascii="Times New Roman" w:cs="Times New Roman" w:eastAsia="Times New Roman" w:hAnsi="Times New Roman"/>
          <w:sz w:val="18"/>
          <w:szCs w:val="18"/>
          <w:color w:val="auto"/>
        </w:rPr>
        <w:t>”), provided that the Post-Spin Company Option exercise price shall not be reduced to less than 25% of the RemainCo stock price immediately following the dividend and, to the extent that the Dividend Value is greater than the exercise price reduction, the remaining value (the “</w:t>
      </w:r>
      <w:r>
        <w:rPr>
          <w:rFonts w:ascii="Times New Roman" w:cs="Times New Roman" w:eastAsia="Times New Roman" w:hAnsi="Times New Roman"/>
          <w:sz w:val="18"/>
          <w:szCs w:val="18"/>
          <w:u w:val="single" w:color="auto"/>
          <w:color w:val="auto"/>
        </w:rPr>
        <w:t>Option Cash Payment</w:t>
      </w:r>
      <w:r>
        <w:rPr>
          <w:rFonts w:ascii="Times New Roman" w:cs="Times New Roman" w:eastAsia="Times New Roman" w:hAnsi="Times New Roman"/>
          <w:sz w:val="18"/>
          <w:szCs w:val="18"/>
          <w:color w:val="auto"/>
        </w:rPr>
        <w:t>”) shall be paid in cash to each holder of such Post-Spin Company Option. The Option Cash Payment shall be made in respect of each (i) vested Post-Spin Company Option, as soon as reasonably practicable following the dividend payment date and (ii) unvested Post-Spin Company Option, on the Payment Date, subject to continued service to SpinCo or RemainCo (as applicable) through such date. Upon a termination of the Post-Spin Company RSU holder or the Post-Spin Company Option holder without Cause (as defined in the applicable equity award agreement) following the dividend date but prior to the Payment Date, the RSU Dividend Payment and Option Cash Payment (as applicable) shall be accelerated and paid on such termination date. For the avoidance of doubt, such termination without Cause shall not cause an acceleration of the underlying Post-Spin Company RSU or Post-Spin Company Option (as applicable).</w:t>
      </w:r>
    </w:p>
    <w:p>
      <w:pPr>
        <w:spacing w:after="0" w:line="197" w:lineRule="exact"/>
        <w:rPr>
          <w:rFonts w:ascii="Times New Roman" w:cs="Times New Roman" w:eastAsia="Times New Roman" w:hAnsi="Times New Roman"/>
          <w:sz w:val="18"/>
          <w:szCs w:val="18"/>
          <w:color w:val="auto"/>
        </w:rPr>
      </w:pPr>
    </w:p>
    <w:p>
      <w:pPr>
        <w:ind w:left="4" w:right="140" w:firstLine="1979"/>
        <w:spacing w:after="0" w:line="266" w:lineRule="auto"/>
        <w:tabs>
          <w:tab w:leader="none" w:pos="229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Company shall be responsible for all Liabilities associated with Post-Spin Company Options and Post-Spin Company RSUs and SpinCo shall be responsible for all Liabilities associated with SpinCo Options and SpinCo RSUs, including any share delivery, registration or other obligations related to the settlement of such awards.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4"/>
          </w:cols>
          <w:pgMar w:left="436" w:top="270" w:right="459" w:bottom="1440" w:gutter="0" w:footer="0" w:header="0"/>
        </w:sectPr>
      </w:pPr>
    </w:p>
    <w:bookmarkStart w:id="55" w:name="page56"/>
    <w:bookmarkEnd w:id="55"/>
    <w:p>
      <w:pPr>
        <w:ind w:firstLine="1428"/>
        <w:spacing w:after="0" w:line="253" w:lineRule="auto"/>
        <w:tabs>
          <w:tab w:leader="none" w:pos="16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Short-Term Incentive Plans</w:t>
      </w:r>
      <w:r>
        <w:rPr>
          <w:rFonts w:ascii="Times New Roman" w:cs="Times New Roman" w:eastAsia="Times New Roman" w:hAnsi="Times New Roman"/>
          <w:sz w:val="18"/>
          <w:szCs w:val="18"/>
          <w:color w:val="auto"/>
        </w:rPr>
        <w:t>. SpinCo acknowledges and agrees that it shall have full responsibility with respect to any Liabilities and the payment or performance of any obligation arising out of or relating to any annual cash bonus or other short-term cash incentive plans or program in which Transferred Employees participate; provided that, with respect to annual cash bonuses for calendar year 2026 payable to Transferred Employees, RemainCo shall reimburse SpinCo (within thirty (30) days following written demand therefor) for a pro-rata portion of each such bonus equal to the product of (x) the total amount of such bonus and (y) a fraction, the numerator of which is the number of days in calendar year 2026 occurring prior to and including the Distribution Date and the denominator of which is the total number of days in calendar year 2026. Notwithstanding the foregoing, (A) neither RemainCo nor any member of the RemainCo Group will assume any Liabilities for any annual cash or other short-term cash incentive plans or program maintained or sponsored by SpinCo or its Subsidiaries following the Distribution and (B) neither SpinCo nor any member of the SpinCo Group will assume any Liabilities for any annual cash or other short-term cash incentive plans or program maintained or sponsored by RemainCo or its Subsidiaries following the Distribution.</w:t>
      </w:r>
    </w:p>
    <w:p>
      <w:pPr>
        <w:spacing w:after="0" w:line="194" w:lineRule="exact"/>
        <w:rPr>
          <w:rFonts w:ascii="Times New Roman" w:cs="Times New Roman" w:eastAsia="Times New Roman" w:hAnsi="Times New Roman"/>
          <w:sz w:val="18"/>
          <w:szCs w:val="18"/>
          <w:color w:val="auto"/>
        </w:rPr>
      </w:pPr>
    </w:p>
    <w:p>
      <w:pPr>
        <w:ind w:right="120" w:firstLine="1428"/>
        <w:spacing w:after="0" w:line="261" w:lineRule="auto"/>
        <w:tabs>
          <w:tab w:leader="none" w:pos="16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Arrangements</w:t>
      </w:r>
      <w:r>
        <w:rPr>
          <w:rFonts w:ascii="Times New Roman" w:cs="Times New Roman" w:eastAsia="Times New Roman" w:hAnsi="Times New Roman"/>
          <w:sz w:val="18"/>
          <w:szCs w:val="18"/>
          <w:color w:val="auto"/>
        </w:rPr>
        <w:t>. SpinCo acknowledges and agrees that, except as otherwise provided in this Agreement, it shall have full responsibility with respect to any Liabilities and the payment or performance of any obligations arising out of or relating to any employment, consulting, non-competition, retention or other compensatory arrangement entered into between any member of the SpinCo Group and any Transferred Employee.</w:t>
      </w:r>
    </w:p>
    <w:p>
      <w:pPr>
        <w:spacing w:after="0" w:line="179" w:lineRule="exact"/>
        <w:rPr>
          <w:rFonts w:ascii="Times New Roman" w:cs="Times New Roman" w:eastAsia="Times New Roman" w:hAnsi="Times New Roman"/>
          <w:sz w:val="18"/>
          <w:szCs w:val="18"/>
          <w:color w:val="auto"/>
        </w:rPr>
      </w:pPr>
    </w:p>
    <w:p>
      <w:pPr>
        <w:ind w:right="40" w:firstLine="1428"/>
        <w:spacing w:after="0" w:line="256" w:lineRule="auto"/>
        <w:tabs>
          <w:tab w:leader="none" w:pos="16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Payroll and Related Taxes</w:t>
      </w:r>
      <w:r>
        <w:rPr>
          <w:rFonts w:ascii="Times New Roman" w:cs="Times New Roman" w:eastAsia="Times New Roman" w:hAnsi="Times New Roman"/>
          <w:sz w:val="18"/>
          <w:szCs w:val="18"/>
          <w:color w:val="auto"/>
        </w:rPr>
        <w:t>. The Parties shall, to the extent practicable, (A) treat the Company or a member of the RemainCo Group as a “predecessor employer” and SpinCo (or the appropriate member of the SpinCo Group) as a “successor,” within the meaning of Sections 3121(a)(1) and 3306(b)(1) of the Code, with respect to Transferred Employees for purposes of Taxes imposed under the United States Federal Unemployment Tax Act or the United States Federal Insurance Contributions Act, and (B) cooperate with each other to avoid, to the extent possible, the filing of more than one United States Internal Revenue Service Form W-2 with respect to each Transferred Employee for the calendar year in which the Distribution Effective Time occurs.</w:t>
      </w:r>
    </w:p>
    <w:p>
      <w:pPr>
        <w:spacing w:after="0" w:line="187" w:lineRule="exact"/>
        <w:rPr>
          <w:rFonts w:ascii="Times New Roman" w:cs="Times New Roman" w:eastAsia="Times New Roman" w:hAnsi="Times New Roman"/>
          <w:sz w:val="18"/>
          <w:szCs w:val="18"/>
          <w:color w:val="auto"/>
        </w:rPr>
      </w:pPr>
    </w:p>
    <w:p>
      <w:pPr>
        <w:ind w:right="40" w:firstLine="1428"/>
        <w:spacing w:after="0" w:line="254" w:lineRule="auto"/>
        <w:tabs>
          <w:tab w:leader="none" w:pos="16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Personnel Records; Data Sharing</w:t>
      </w:r>
      <w:r>
        <w:rPr>
          <w:rFonts w:ascii="Times New Roman" w:cs="Times New Roman" w:eastAsia="Times New Roman" w:hAnsi="Times New Roman"/>
          <w:sz w:val="18"/>
          <w:szCs w:val="18"/>
          <w:color w:val="auto"/>
        </w:rPr>
        <w:t>. At all times following the Distribution Effective Time, the Parties shall, or shall cause any member of their respective Groups to, cooperate in good faith as necessary to facilitate the administration of the Transferred Plans, as applicable, and the resolution of related employee benefit claims, including with respect to the provision of employee-level information necessary for the other Party to manage, administer, finance and file required reports with respect to such administration. The Parties shall, or shall cause any member of their respective Groups to, provide each other such records and information as necessary or appropriate to carry out their obligations under applicable Law, this Agreement, or for the purposes of administering the Transferred Plans, as applicable, as soon as administratively practicable after the Distribution Effective Time or upon reasonable request by the other Party. All information and records regarding employment and personnel matters of Transferred Employees shall be accessed, retained, held, used, copied and transmitted after the Distribution Date by the Parties in accordance with all applicable Laws and policies relating to the collection, storage, retention, use, transmittal, disclosure and destruction of such records.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56" w:name="page57"/>
    <w:bookmarkEnd w:id="56"/>
    <w:p>
      <w:pPr>
        <w:ind w:left="4" w:firstLine="1428"/>
        <w:spacing w:after="0" w:line="258" w:lineRule="auto"/>
        <w:tabs>
          <w:tab w:leader="none" w:pos="16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Obligations</w:t>
      </w:r>
      <w:r>
        <w:rPr>
          <w:rFonts w:ascii="Times New Roman" w:cs="Times New Roman" w:eastAsia="Times New Roman" w:hAnsi="Times New Roman"/>
          <w:sz w:val="18"/>
          <w:szCs w:val="18"/>
          <w:color w:val="auto"/>
        </w:rPr>
        <w:t xml:space="preserve">. Except for any SpinCo Options and SpinCo RSUs issued pursuant to </w:t>
      </w:r>
      <w:r>
        <w:rPr>
          <w:rFonts w:ascii="Times New Roman" w:cs="Times New Roman" w:eastAsia="Times New Roman" w:hAnsi="Times New Roman"/>
          <w:sz w:val="18"/>
          <w:szCs w:val="18"/>
          <w:u w:val="single" w:color="auto"/>
          <w:color w:val="auto"/>
        </w:rPr>
        <w:t>Section 4.3(d)(iii)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4.3(d)(v)</w:t>
      </w:r>
      <w:r>
        <w:rPr>
          <w:rFonts w:ascii="Times New Roman" w:cs="Times New Roman" w:eastAsia="Times New Roman" w:hAnsi="Times New Roman"/>
          <w:sz w:val="18"/>
          <w:szCs w:val="18"/>
          <w:color w:val="auto"/>
        </w:rPr>
        <w:t xml:space="preserve"> to current or former members of the Company Board of Directors, the Company shall retain responsibility for the payment of any cash fees payable in respect of service on the Company Board of Directors, as required by existing Benefit Plans as of the date of this Agreement, that are payable but not yet paid as of the Distribution (which amounts, for the avoidance of doubt, shall be calculated on a pro-rated basis to reflect the period of service through the Distribution Date), and SpinCo shall have no responsibility for any such payments.</w:t>
      </w:r>
    </w:p>
    <w:p>
      <w:pPr>
        <w:spacing w:after="0" w:line="183" w:lineRule="exact"/>
        <w:rPr>
          <w:rFonts w:ascii="Times New Roman" w:cs="Times New Roman" w:eastAsia="Times New Roman" w:hAnsi="Times New Roman"/>
          <w:sz w:val="18"/>
          <w:szCs w:val="18"/>
          <w:color w:val="auto"/>
        </w:rPr>
      </w:pPr>
    </w:p>
    <w:p>
      <w:pPr>
        <w:ind w:left="4" w:right="60" w:firstLine="1428"/>
        <w:spacing w:after="0" w:line="255" w:lineRule="auto"/>
        <w:tabs>
          <w:tab w:leader="none" w:pos="16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No provision of this Agreement shall be construed to create any right to any compensation or benefit on the part of any Transferred Employee or other future, present, or former employee of any member of the SpinCo Group or RemainCo Group under any Transferred Plan or otherwise. This Agreement is solely for the benefit of the Parties and their respective successors and permitted assigns. No provision in this Agreement shall modify or amend any other agreement, plan, program, or document unless this Agreement explicitly states that the provision “amends” that other agreement, plan, program, or document. Nothing in this Agreement is intended to confer upon any Current Employee or former employee or service provider of SpinCo, the Company or either of their respective Affiliates any right to continued employment or service, or any recall or similar rights to an individual on layoff or any type of approved leave.</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Solicit; No Hire</w:t>
      </w:r>
      <w:r>
        <w:rPr>
          <w:rFonts w:ascii="Times New Roman" w:cs="Times New Roman" w:eastAsia="Times New Roman" w:hAnsi="Times New Roman"/>
          <w:sz w:val="18"/>
          <w:szCs w:val="18"/>
          <w:color w:val="auto"/>
        </w:rPr>
        <w:t>. None of RemainCo, SpinCo or any member of their respective Groups shall, for a period of twenty four</w:t>
      </w:r>
    </w:p>
    <w:p>
      <w:pPr>
        <w:spacing w:after="0" w:line="27" w:lineRule="exact"/>
        <w:rPr>
          <w:sz w:val="20"/>
          <w:szCs w:val="20"/>
          <w:color w:val="auto"/>
        </w:rPr>
      </w:pPr>
    </w:p>
    <w:p>
      <w:pPr>
        <w:ind w:left="4" w:hanging="4"/>
        <w:spacing w:after="0" w:line="251" w:lineRule="auto"/>
        <w:tabs>
          <w:tab w:leader="none" w:pos="3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from the Distribution Effective Time, without the prior written consent of the other Party, directly or indirectly, recruit, solicit, hire or retain any person who is an employee specified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of the other Party or its Subsidiaries as of the Distribution Effective Time or induce, or attempt to induce, any such employee to terminate his or her employment with, or otherwise cease his or her relationship with, the other Party or its Subsidiaries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nothing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be deemed to prohibit any general solicitation for employment through advertisements and search firms not specifically directed at employees of such other Party or any hiring as a result thereof, and (ii) the prohibitions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not apply with respect to employees who have been terminated by a Party. The Parties agree that irreparable damage may occur in the event that 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were not performed in accordance with their specific terms. Accordingly, it is hereby agreed that the Parties shall be entitled to an injunction or injunctions to enforce specifically the terms and provisions hereof in any court of the United States or any state having jurisdiction, this being in addition to any other remedy to which they are entitled at law or in equity. In respect of countries whose local Laws declare as invalid or unenforceable or prohibit any agreement between employers not to hire employees of the other, the Parties shall not have an agreement not to hire employees of the other but agree not to actively solicit the services of each other’s employees for such period on and after the Distribution Effective Time as specified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57" w:name="page58"/>
    <w:bookmarkEnd w:id="5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Insurance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1428"/>
        <w:spacing w:after="0" w:line="261" w:lineRule="auto"/>
        <w:tabs>
          <w:tab w:leader="none" w:pos="168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Effective Time, with respect to any Losses, damages and Liabilities incurred by any member of the RemainCo Group prior to the Distribution Effective Time, SpinCo will provide RemainCo with access to, and RemainCo may, upon ten</w:t>
      </w:r>
    </w:p>
    <w:p>
      <w:pPr>
        <w:jc w:val="both"/>
        <w:ind w:left="4" w:right="100" w:hanging="4"/>
        <w:spacing w:after="0" w:line="253" w:lineRule="auto"/>
        <w:tabs>
          <w:tab w:leader="none" w:pos="3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written notice to SpinCo, make claims under, the Company’s historical policies of insurance, but solely to the extent that such policies provided coverage for members of the RemainCo Group prior to the Distribution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access to, and the right to make claims under, such insurance policies, shall be subject to the terms and conditions of such insurance policies, including any limits on coverage or scope, any deductibles and other fees and expenses, and shall be subject to the following additional conditions:</w:t>
      </w:r>
    </w:p>
    <w:p>
      <w:pPr>
        <w:spacing w:after="0" w:line="80" w:lineRule="exact"/>
        <w:rPr>
          <w:rFonts w:ascii="Times New Roman" w:cs="Times New Roman" w:eastAsia="Times New Roman" w:hAnsi="Times New Roman"/>
          <w:sz w:val="18"/>
          <w:szCs w:val="18"/>
          <w:color w:val="auto"/>
        </w:rPr>
      </w:pPr>
    </w:p>
    <w:p>
      <w:pPr>
        <w:ind w:left="4" w:firstLine="1979"/>
        <w:spacing w:after="0" w:line="261" w:lineRule="auto"/>
        <w:tabs>
          <w:tab w:leader="none" w:pos="2202"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 shall report any claim in writing to SpinCo, as promptly as is reasonably practicable, and in any event in sufficient time so that such claim may be made and managed by SpinCo in accordance with the Transition Services Agreement and SpinCo’s claim reporting procedures in effect immediately prior to the Distribution Effective Time (or in accordance with any modifications to such procedures after the Distribution Effective Time communicated by the Company to SpinCo in writing);</w:t>
      </w:r>
    </w:p>
    <w:p>
      <w:pPr>
        <w:spacing w:after="0" w:line="179" w:lineRule="exact"/>
        <w:rPr>
          <w:rFonts w:ascii="Times New Roman" w:cs="Times New Roman" w:eastAsia="Times New Roman" w:hAnsi="Times New Roman"/>
          <w:sz w:val="18"/>
          <w:szCs w:val="18"/>
          <w:color w:val="auto"/>
        </w:rPr>
      </w:pPr>
    </w:p>
    <w:p>
      <w:pPr>
        <w:ind w:left="4" w:right="40" w:firstLine="1979"/>
        <w:spacing w:after="0" w:line="256" w:lineRule="auto"/>
        <w:tabs>
          <w:tab w:leader="none" w:pos="2252"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RemainCo and the members of the RemainCo Group shall solely bear and be liable for (and neither SpinCo nor any members of the SpinCo Group shall have any obligation to repay or reimburse RemainCo or any member of the RemainCo Group for), and shall indemnify, hold harmless and reimburse SpinCo and the members of the SpinCo Group for, any deductibles, self-insured retention, fees and expenses to the extent resulting from any access to, or any claims made by SpinCo or any other members of the RemainCo Group under any insurance provided pursuant to this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including any indemnification payments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settlements, judgments, legal fees and allocated claims expenses and claim handling fees, whether such claims are made by members of the RemainCo Group, its employees or Third Parties; and</w:t>
      </w:r>
    </w:p>
    <w:p>
      <w:pPr>
        <w:spacing w:after="0" w:line="187" w:lineRule="exact"/>
        <w:rPr>
          <w:rFonts w:ascii="Times New Roman" w:cs="Times New Roman" w:eastAsia="Times New Roman" w:hAnsi="Times New Roman"/>
          <w:sz w:val="18"/>
          <w:szCs w:val="18"/>
          <w:color w:val="auto"/>
        </w:rPr>
      </w:pPr>
    </w:p>
    <w:p>
      <w:pPr>
        <w:ind w:left="4" w:right="20" w:firstLine="1979"/>
        <w:spacing w:after="0" w:line="253" w:lineRule="auto"/>
        <w:tabs>
          <w:tab w:leader="none" w:pos="2302"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RemainCo shall solely bear and be liable for (and neither the Company nor any members of the SpinCo Group shall have any obligation to repay or reimburse RemainCo or any member of the RemainCo Group for) all uninsured, uncovered, unavailable or uncollectible amounts of all such claims made by RemainCo or any member of the RemainCo Group under the policies as provided for in this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In the event an insurance policy aggregate is exhausted, or believed likely to be exhausted, due to noticed claims, the RemainCo Group, on the one hand, and the SpinCo Group, on the other hand, shall be responsible for their pro rata portion of the reinstatement premium, if any, based upon the Losses of such Group submitted to SpinCo’s insurance carrier(s) (including any submissions prior to the Distribution Effective Time). To the extent that the SpinCo Group or the RemainCo Group is allocated more than its pro rata portion of such premium due to the timing of Losses submitted to SpinCo’s insurance carrier(s), the other Party shall promptly pay the first Party an amount so that each Group has been properly allocated its pro rata portion of the reinstatement premium. Subject to the following sentence, SpinCo may elect not to reinstate the policy aggregate. In the event that, at any time prior to the Distribution Effective Time, SpinCo elects not to reinstate the policy aggregate, it shall provide prompt written notice to RemainCo, and RemainCo may direct SpinCo in writing to, and SpinCo shall, in such case, reinstate the policy aggregate;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RemainCo shall be responsible for all reinstatement premiums and other costs associated with such reinstatement.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4"/>
          </w:cols>
          <w:pgMar w:left="436" w:top="270" w:right="479" w:bottom="1440" w:gutter="0" w:footer="0" w:header="0"/>
        </w:sectPr>
      </w:pPr>
    </w:p>
    <w:bookmarkStart w:id="58" w:name="page59"/>
    <w:bookmarkEnd w:id="58"/>
    <w:p>
      <w:pPr>
        <w:ind w:left="-40" w:right="100" w:firstLine="1428"/>
        <w:spacing w:after="0" w:line="254" w:lineRule="auto"/>
        <w:tabs>
          <w:tab w:leader="none" w:pos="16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provided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from and after the Distribution Effective Time, neither RemainCo nor any member of the RemainCo Group shall have any rights to or under any of the insurance policies of SpinCo or any other member of the SpinCo Group. At the Distribution Effective Time, RemainCo shall, unless it has obtained the prior written consent of SpinCo, have in effect all insurance programs obligations required to comply with RemainCo’s contractual obligations and such other insurance policies required by Law or as reasonably necessary or appropriate for companies operating a business similar to RemainCo’s. Such insurance programs may include but are not limited to general liability, commercial auto liability, worker’s compensation, employer’s liability, product/completed operations liability, pollution legal liability, surety bonds, professional services liability, property, cargo, employment practices liability, employee dishonesty/crime, directors’ and officers’ liability, fiduciary liability and cyber liability.</w:t>
      </w:r>
    </w:p>
    <w:p>
      <w:pPr>
        <w:spacing w:after="0" w:line="191" w:lineRule="exact"/>
        <w:rPr>
          <w:rFonts w:ascii="Times New Roman" w:cs="Times New Roman" w:eastAsia="Times New Roman" w:hAnsi="Times New Roman"/>
          <w:sz w:val="18"/>
          <w:szCs w:val="18"/>
          <w:color w:val="auto"/>
        </w:rPr>
      </w:pPr>
    </w:p>
    <w:p>
      <w:pPr>
        <w:ind w:left="-40" w:firstLine="1428"/>
        <w:spacing w:after="0" w:line="256" w:lineRule="auto"/>
        <w:tabs>
          <w:tab w:leader="none" w:pos="163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RemainCo nor any member of the RemainCo Group, in connection with making a claim under any insurance policy of SpinCo or any member of the SpinCo Group pursuant to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shall take any action that would be reasonably likely to: (i) have an adverse impact on the then-current relationship between SpinCo or any member of the SpinCo Group, on the one hand, and the applicable insurance company, on the other hand; (ii) result in the applicable insurance company terminating or reducing coverage, or increasing the amount of any premium owed by SpinCo or any member of the SpinCo Group under the applicable insurance policy; or (iii) otherwise compromise, jeopardize or interfere with the rights of SpinCo or any member of the SpinCo Group under the applicable insurance policy.</w:t>
      </w:r>
    </w:p>
    <w:p>
      <w:pPr>
        <w:spacing w:after="0" w:line="187" w:lineRule="exact"/>
        <w:rPr>
          <w:rFonts w:ascii="Times New Roman" w:cs="Times New Roman" w:eastAsia="Times New Roman" w:hAnsi="Times New Roman"/>
          <w:sz w:val="18"/>
          <w:szCs w:val="18"/>
          <w:color w:val="auto"/>
        </w:rPr>
      </w:pPr>
    </w:p>
    <w:p>
      <w:pPr>
        <w:ind w:left="-40" w:firstLine="1428"/>
        <w:spacing w:after="0" w:line="252" w:lineRule="auto"/>
        <w:tabs>
          <w:tab w:leader="none" w:pos="16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and reimbursements by RemainCo pursuant to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will be made within thirty (30) days after RemainCo’s receipt of an invoice therefor from SpinCo. If SpinCo incurs costs to enforce RemainCo’s obligations herein, RemainCo agrees to indemnify and hold harmless SpinCo for such enforcement costs, including reasonable, documented attorneys’ fees. SpinCo shall retain the exclusive right to control its insurance policies and programs, including the right to exhaust, settle, release, commute, buy back or otherwise resolve disputes with respect to any of its insurance policies and programs and to amend, modify or waive any rights under any such insurance policies and programs, notwithstanding whether any such policies or programs apply to any RemainCo Liabilities and/or claims RemainCo has made or could make in the future, and no member of the RemainCo Group shall erode, exhaust, settle, release, commute, buyback or otherwise resolve disputes with SpinCo’s insurers with respect to any of SpinCo’s insurance policies and programs, or amend, modify or waive any rights under any such insurance policies and programs. RemainCo shall cooperate with SpinCo and share such information as is reasonably necessary in order to permit SpinCo to manage and conduct its insurance matters as it deems appropriate, including with respect to (i) any claims made pursuant to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and the management thereof, (ii) any policy premium adjustments with respect to the Company’s historical policies of insurance, in each case to the extent that such policies provided coverage for members of the RemainCo Group prior to the Distribution Effective Time, and (iii) the release of any and all Company surety bonding obligations to the extent related to any such insurance policies described in clause (ii). Neither SpinCo nor any of the members of the SpinCo Group shall have any obligation to secure extended reporting for any claims under any Liability policies of SpinCo or any member of the SpinCo Group for any acts or omissions by any member of the RemainCo Group incurred prior to the Distribution Effective Time.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20"/>
          </w:cols>
          <w:pgMar w:left="480" w:top="270" w:right="499" w:bottom="1440" w:gutter="0" w:footer="0" w:header="0"/>
        </w:sectPr>
      </w:pPr>
    </w:p>
    <w:bookmarkStart w:id="59" w:name="page60"/>
    <w:bookmarkEnd w:id="59"/>
    <w:p>
      <w:pPr>
        <w:ind w:right="80" w:firstLine="1428"/>
        <w:spacing w:after="0" w:line="266" w:lineRule="auto"/>
        <w:tabs>
          <w:tab w:leader="none" w:pos="16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shall not be considered as an attempted assignment of any policy of insurance or as a Contract of insurance and shall not be construed to waive any right or remedy of any member of the SpinCo Group in respect of any insurance policy or any other Contract or policy of insurance.</w:t>
      </w:r>
    </w:p>
    <w:p>
      <w:pPr>
        <w:spacing w:after="0" w:line="175" w:lineRule="exact"/>
        <w:rPr>
          <w:rFonts w:ascii="Times New Roman" w:cs="Times New Roman" w:eastAsia="Times New Roman" w:hAnsi="Times New Roman"/>
          <w:sz w:val="18"/>
          <w:szCs w:val="18"/>
          <w:color w:val="auto"/>
        </w:rPr>
      </w:pPr>
    </w:p>
    <w:p>
      <w:pPr>
        <w:jc w:val="both"/>
        <w:ind w:right="80" w:firstLine="1428"/>
        <w:spacing w:after="0" w:line="261" w:lineRule="auto"/>
        <w:tabs>
          <w:tab w:leader="none" w:pos="16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 does hereby, for itself and each other member of the RemainCo Group, agree that no member of the SpinCo Group shall have any Liability whatsoever as a result of the insurance policies and practices of SpinCo and the members of the SpinCo Group as in effect at any time, including as a result of the level or scope of any such insurance, the creditworthiness of any insurance carrier, the terms and conditions of any policy, the adequacy or timeliness of any notice to any insurance carrier with respect to any claim or potential claim or otherwise.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Shared 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428"/>
        <w:spacing w:after="0" w:line="261" w:lineRule="auto"/>
        <w:tabs>
          <w:tab w:leader="none" w:pos="16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Distribution Date, the Company, on behalf of itself and the RemainCo Group, hereby grants to SpinCo and each member of the SpinCo Group a worldwide, perpetual, irrevocable, fully paid-up, royalty-free, non-transferable (except as set forth in</w:t>
      </w: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 xml:space="preserve">), non-sublicensable (except as set forth in </w:t>
      </w:r>
      <w:r>
        <w:rPr>
          <w:rFonts w:ascii="Times New Roman" w:cs="Times New Roman" w:eastAsia="Times New Roman" w:hAnsi="Times New Roman"/>
          <w:sz w:val="18"/>
          <w:szCs w:val="18"/>
          <w:u w:val="single" w:color="auto"/>
          <w:color w:val="auto"/>
        </w:rPr>
        <w:t>Section 4.6(d)</w:t>
      </w:r>
      <w:r>
        <w:rPr>
          <w:rFonts w:ascii="Times New Roman" w:cs="Times New Roman" w:eastAsia="Times New Roman" w:hAnsi="Times New Roman"/>
          <w:sz w:val="18"/>
          <w:szCs w:val="18"/>
          <w:color w:val="auto"/>
        </w:rPr>
        <w:t>), non-exclusive license under the RemainCo Shared IP to use, reproduce, create derivative works of, modify, distribute, make, have made, sell, offer for sale, import or otherwise exploit products and services solely to the extent necessary or reasonably useful to operate and exploit the SpinCo Business as conducted as of the Closing and any natural evolutions or extensions thereof.</w:t>
      </w:r>
    </w:p>
    <w:p>
      <w:pPr>
        <w:spacing w:after="0" w:line="188" w:lineRule="exact"/>
        <w:rPr>
          <w:rFonts w:ascii="Times New Roman" w:cs="Times New Roman" w:eastAsia="Times New Roman" w:hAnsi="Times New Roman"/>
          <w:sz w:val="18"/>
          <w:szCs w:val="18"/>
          <w:color w:val="auto"/>
        </w:rPr>
      </w:pPr>
    </w:p>
    <w:p>
      <w:pPr>
        <w:ind w:right="20" w:firstLine="1428"/>
        <w:spacing w:after="0" w:line="281" w:lineRule="auto"/>
        <w:tabs>
          <w:tab w:leader="none" w:pos="168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as of the Distribution Date, SpinCo, on behalf of itself and the SpinCo Group, hereby grants to the Company and each member of the RemainCo Group a worldwide, perpetual, irrevocable, fully paid-up, royalty-free, non-transferable (except as set forth in </w:t>
      </w:r>
      <w:r>
        <w:rPr>
          <w:rFonts w:ascii="Times New Roman" w:cs="Times New Roman" w:eastAsia="Times New Roman" w:hAnsi="Times New Roman"/>
          <w:sz w:val="17"/>
          <w:szCs w:val="17"/>
          <w:u w:val="single" w:color="auto"/>
          <w:color w:val="auto"/>
        </w:rPr>
        <w:t>Section 4.6(b)</w:t>
      </w:r>
      <w:r>
        <w:rPr>
          <w:rFonts w:ascii="Times New Roman" w:cs="Times New Roman" w:eastAsia="Times New Roman" w:hAnsi="Times New Roman"/>
          <w:sz w:val="17"/>
          <w:szCs w:val="17"/>
          <w:color w:val="auto"/>
        </w:rPr>
        <w:t xml:space="preserve">), non-sublicensable (except as set forth in </w:t>
      </w:r>
      <w:r>
        <w:rPr>
          <w:rFonts w:ascii="Times New Roman" w:cs="Times New Roman" w:eastAsia="Times New Roman" w:hAnsi="Times New Roman"/>
          <w:sz w:val="17"/>
          <w:szCs w:val="17"/>
          <w:u w:val="single" w:color="auto"/>
          <w:color w:val="auto"/>
        </w:rPr>
        <w:t>Section 4.6(d)</w:t>
      </w:r>
      <w:r>
        <w:rPr>
          <w:rFonts w:ascii="Times New Roman" w:cs="Times New Roman" w:eastAsia="Times New Roman" w:hAnsi="Times New Roman"/>
          <w:sz w:val="17"/>
          <w:szCs w:val="17"/>
          <w:color w:val="auto"/>
        </w:rPr>
        <w:t>), non-exclusive license under the SpinCo Shared IP solely to the extent and for such purposes as such SpinCo IP is licensed or obligated to be licensed as of the date of this Agreement to third parties pursuant the Royalty License Agreements.</w:t>
      </w:r>
    </w:p>
    <w:p>
      <w:pPr>
        <w:spacing w:after="0" w:line="164" w:lineRule="exact"/>
        <w:rPr>
          <w:rFonts w:ascii="Times New Roman" w:cs="Times New Roman" w:eastAsia="Times New Roman" w:hAnsi="Times New Roman"/>
          <w:sz w:val="17"/>
          <w:szCs w:val="17"/>
          <w:color w:val="auto"/>
        </w:rPr>
      </w:pPr>
    </w:p>
    <w:p>
      <w:pPr>
        <w:jc w:val="both"/>
        <w:ind w:firstLine="1428"/>
        <w:spacing w:after="0" w:line="266" w:lineRule="auto"/>
        <w:tabs>
          <w:tab w:leader="none" w:pos="16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SpinCo, as applicable, may assign the license granted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in whole or in part, in connection with a merger, consolidation or sale of all or substantially all of, or any portion of the assets of the Business of the Company or SpinCo, as applicable, and its Affiliates to which the license relates.</w:t>
      </w:r>
    </w:p>
    <w:p>
      <w:pPr>
        <w:spacing w:after="0" w:line="175" w:lineRule="exact"/>
        <w:rPr>
          <w:rFonts w:ascii="Times New Roman" w:cs="Times New Roman" w:eastAsia="Times New Roman" w:hAnsi="Times New Roman"/>
          <w:sz w:val="18"/>
          <w:szCs w:val="18"/>
          <w:color w:val="auto"/>
        </w:rPr>
      </w:pPr>
    </w:p>
    <w:p>
      <w:pPr>
        <w:ind w:right="100" w:firstLine="1428"/>
        <w:spacing w:after="0" w:line="282" w:lineRule="auto"/>
        <w:tabs>
          <w:tab w:leader="none" w:pos="16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SpinCo, as applicable, may sublicense the license granted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as applicable, solely within the scope of the license granted to the Company and SpinCo, as applicable.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60" w:name="page61"/>
    <w:bookmarkEnd w:id="60"/>
    <w:p>
      <w:pPr>
        <w:ind w:left="-40" w:right="80" w:firstLine="1428"/>
        <w:spacing w:after="0" w:line="255" w:lineRule="auto"/>
        <w:tabs>
          <w:tab w:leader="none" w:pos="163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 will ensure, and will cause each member of its Group to ensure (i) that the Shared IP to which it is granted a license under this Agreement is maintained as the licensor Party’s Confidential Information under this Agreement (subject to any applicable exceptions in the definition of “Confidential Information”) and (ii) that any Shared IP that is a Trade Secret or Know-How is not disclosed by such Party, any member of its Group or their employees to any Person other than a permitted sublicensee of such Shared IP under this Agreement or as required under applicable Law. In addition, and without limiting anything in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each Party will ensure, and will cause each member of its Group to ensure, that any Person who receives disclosure of a Trade Secret or Know-How is contractually obligated to continue to maintain the status of such Trade Secret or Know-How under applicable Law.</w:t>
      </w:r>
    </w:p>
    <w:p>
      <w:pPr>
        <w:spacing w:after="0" w:line="188" w:lineRule="exact"/>
        <w:rPr>
          <w:rFonts w:ascii="Times New Roman" w:cs="Times New Roman" w:eastAsia="Times New Roman" w:hAnsi="Times New Roman"/>
          <w:sz w:val="18"/>
          <w:szCs w:val="18"/>
          <w:color w:val="auto"/>
        </w:rPr>
      </w:pPr>
    </w:p>
    <w:p>
      <w:pPr>
        <w:jc w:val="both"/>
        <w:ind w:left="-40" w:firstLine="1428"/>
        <w:spacing w:after="0" w:line="261" w:lineRule="auto"/>
        <w:tabs>
          <w:tab w:leader="none" w:pos="161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licenses granted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are, and will otherwise be deemed to be, for purposes of Section 365(n) of the United States Bankruptcy Code, licenses of rights to “intellectual property” (as defined under Section 101 of the United States Bankruptcy Code), and each of the Company and SpinCo may fully exercise all of its rights and elections under the United States Bankruptcy Code (or any similar foreign applicable Law) with respect thereto.</w:t>
      </w:r>
    </w:p>
    <w:p>
      <w:pPr>
        <w:spacing w:after="0" w:line="179"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shall survive in perpetuity.</w:t>
      </w:r>
    </w:p>
    <w:p>
      <w:pPr>
        <w:spacing w:after="0" w:line="2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40" w:firstLine="1428"/>
        <w:spacing w:after="0" w:line="258" w:lineRule="auto"/>
        <w:tabs>
          <w:tab w:leader="none" w:pos="163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without limiting the actions specifically provided for elsewhere in this Agreement, including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each of the Parties shall cooperate with each other and use (and shall cause its respective Subsidiaries and Affiliates to use) reasonable best efforts, at and after the Distribution Effective Time, to take, or to cause to be taken, all actions, and to do, or to cause to be done, all things reasonably necessary on its part under applicable Law or contractual obligations to consummate and make effective the transactions contemplated by this Agreement and the Transition Services Agreement.</w:t>
      </w:r>
    </w:p>
    <w:p>
      <w:pPr>
        <w:spacing w:after="0" w:line="183" w:lineRule="exact"/>
        <w:rPr>
          <w:rFonts w:ascii="Times New Roman" w:cs="Times New Roman" w:eastAsia="Times New Roman" w:hAnsi="Times New Roman"/>
          <w:sz w:val="18"/>
          <w:szCs w:val="18"/>
          <w:color w:val="auto"/>
        </w:rPr>
      </w:pPr>
    </w:p>
    <w:p>
      <w:pPr>
        <w:ind w:left="-40" w:firstLine="1428"/>
        <w:spacing w:after="0" w:line="254" w:lineRule="auto"/>
        <w:tabs>
          <w:tab w:leader="none" w:pos="164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from and after the Distribution Effective Time, each Party shall cooperate with the other Party,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to execute and deliver, or use reasonable best efforts to cause to be executed and delivered, all instruments, including instruments of conveyance, assignment, Transfer or title, and to make all filings with, and to obtain all Consents and/or approvals of, and provide any notices to, any Governmental Authority or other Person under any permit, license, Contract, agreement, indenture or other instrument, and to take all such other actions as such Party may reasonably be requested to be taken by the other Party from time to time, consistent with the terms of this Agreement, in order to effectuate the provisions and purposes of this Agreement and the Transfers of the applicable Assets and the assignment and assumption of the applicable Liabilities and the other transactions contemplated hereby and thereby. Without limiting the foregoing, each Party shall,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take such other actions as may be reasonably necessary to vest in such other Party such title and such rights as possessed by the transferring Party to the Assets allocated to such other Party, free and clear of any Liens, other than any Permitted Liens.</w:t>
      </w:r>
    </w:p>
    <w:p>
      <w:pPr>
        <w:spacing w:after="0" w:line="188" w:lineRule="exact"/>
        <w:rPr>
          <w:rFonts w:ascii="Times New Roman" w:cs="Times New Roman" w:eastAsia="Times New Roman" w:hAnsi="Times New Roman"/>
          <w:sz w:val="18"/>
          <w:szCs w:val="18"/>
          <w:color w:val="auto"/>
        </w:rPr>
      </w:pPr>
    </w:p>
    <w:p>
      <w:pPr>
        <w:ind w:left="-40" w:right="320" w:firstLine="1428"/>
        <w:spacing w:after="0" w:line="261" w:lineRule="auto"/>
        <w:tabs>
          <w:tab w:leader="none" w:pos="163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Distribution Effective Time, the Company and SpinCo in their respective capacities as direct and indirect stockholders of the members of their Groups, shall each ratify any actions which are reasonably necessary or desirable to be taken by the Company, SpinCo or any of the members of their respective Groups, as the case may be, to effectuate the transactions contemplated by this Agreement and the Transition Services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0"/>
          </w:cols>
          <w:pgMar w:left="480" w:top="270" w:right="479" w:bottom="1440" w:gutter="0" w:footer="0" w:header="0"/>
        </w:sectPr>
      </w:pPr>
    </w:p>
    <w:bookmarkStart w:id="61" w:name="page62"/>
    <w:bookmarkEnd w:id="61"/>
    <w:p>
      <w:pPr>
        <w:jc w:val="both"/>
        <w:ind w:left="4" w:right="120" w:firstLine="1428"/>
        <w:spacing w:after="0" w:line="266" w:lineRule="auto"/>
        <w:tabs>
          <w:tab w:leader="none" w:pos="16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or prior to the Distribution Effective Time, each of the Company and SpinCo shall enter into, and/or (where applicable) shall cause a member or members of their respective Group (as applicable) to enter into any Contracts in respect of the Distribution reasonably necessary or appropriate in connection with the transactions contemplated by this Agreement or the Transition Services Agreement.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Vanda License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3" w:lineRule="auto"/>
        <w:tabs>
          <w:tab w:leader="none" w:pos="168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 shall cooperate with SpinCo to request that Vanda (i) remit all Vanda Milestones directly to SpinCo (and not RemainCo) or its designee and (ii) permit SpinCo to enforce the obligation to pay Vanda Milestones against Vanda. Notwithstanding the foregoing, upon RemainCo’s receipt of any Vanda Milestones, RemainCo shall (i) promptly provide notice to SpinCo of its receipt of such Vanda Milestones, (ii) remit all received Vanda Milestones to SpinCo or its designee within thirty (30) days after the receipt thereof, (iii) maintain accurate books and records reasonably necessary to continuously track and account for which amounts received under the Vanda License Agreement constitute Vanda Milestones and which amounts constitute all other payments, and shall make such books and records available to SpinCo for inspection upon SpinCo’s reasonable request, and (iv) to the extent applicable, promptly segregate all received Vanda Milestones into a separate account or sweep such amounts from any account in which all other payments received under the Vanda License Agreement are deposited upon SpinCo’s prior written request in its sole discretion. From and after the Distribution Date, RemainCo shall diligently enforce its rights and Vanda’s obligations under the Vanda License Agreement, including with respect to any breach of Vanda’s diligence obligations under Section 3.2.3 of the Vanda License Agreement and any payment obligations with respect to the Vanda Milestones. RemainCo and SpinCo shall consult with each other with a view to determining the appropriate course of action to take with respect to any enforcement actions.</w:t>
      </w:r>
    </w:p>
    <w:p>
      <w:pPr>
        <w:spacing w:after="0" w:line="189" w:lineRule="exact"/>
        <w:rPr>
          <w:rFonts w:ascii="Times New Roman" w:cs="Times New Roman" w:eastAsia="Times New Roman" w:hAnsi="Times New Roman"/>
          <w:sz w:val="18"/>
          <w:szCs w:val="18"/>
          <w:color w:val="auto"/>
        </w:rPr>
      </w:pPr>
    </w:p>
    <w:p>
      <w:pPr>
        <w:ind w:left="4" w:right="380" w:firstLine="1428"/>
        <w:spacing w:after="0" w:line="266" w:lineRule="auto"/>
        <w:tabs>
          <w:tab w:leader="none" w:pos="169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have the right to reasonably request information from RemainCo regarding the status of the Vanda License Agreement and the conduct of activities thereunder and RemainCo shall promptly respond to any such request (including, to the extent necessary to comply with any such information requests, exercising its information access and audit rights under the Vanda License Agreement).</w:t>
      </w:r>
    </w:p>
    <w:p>
      <w:pPr>
        <w:spacing w:after="0" w:line="17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Distribution Date, neither RemainCo nor any of its Affiliates shall, without SpinCo’s prior written consent:</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Vanda License Agreement or (ii) commit any acts or omit to take any acts that would, with the passage of time or otherwise, cause the breach or termination of the Vanda License Agreement or otherwise diminish or adversely affect Vanda’s obligation to pay the Vanda Milestones, including by failing to fulfill any of its obligations under the Vanda License Agreement or amending or permitting to be amended, the Vanda License Agreement or waiving or permitting to be waived any rights thereunder in a manner that would conflict with or adversely affect the right to receive the Vanda Milestones, decrease the likelihood of the events giving rise to the Vanda Milestones being achieved or payable or lessen the amount of the Vanda Milestones. RemainCo shall promptly provide SpinCo with written notice of any alleged, threatened, or actual breach of the Vanda License Agreement, whether by RemainCo or Vanda, and RemainCo and SpinCo shall consult with each other with a view to determining the appropriate course of action to take with respect to the applicable alleged, threatened or actual breach.</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62" w:name="page63"/>
    <w:bookmarkEnd w:id="62"/>
    <w:p>
      <w:pPr>
        <w:ind w:left="4" w:right="120" w:firstLine="1428"/>
        <w:spacing w:after="0" w:line="261" w:lineRule="auto"/>
        <w:tabs>
          <w:tab w:leader="none" w:pos="16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avoidance of doubt, the foregoing obligations will be binding upon RemainCo’s successors and assigns of the Vanda License Agreement. RemainCo shall ensure that any successor or assignee of RemainCo to the Vanda License Agreement expressly assumes in writing (with a copy of the agreement provided to SpinCo (and its successors and permitted assigns)) the covenants set forth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All obligations set forth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expire upon SpinCo’s receipt of the last Vanda Milestone under the Vanda License Agreement.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Backup Security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3" w:lineRule="auto"/>
        <w:tabs>
          <w:tab w:leader="none" w:pos="168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collateral security for the payment or performance when due, as the case may be, in full of RemainCo’s obligations to remit any Vanda Milestones to SpinCo (and its successors and permitted assigns) pursuant to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RemainCo hereby collaterally assigns and pledges to SpinCo (and its successors and permitted assigns), and hereby grants to SpinCo (and its successors and permitted assigns), a security interest in and continuing lien on all of RemainCo’s right, title and interest in, to and under the following, in each case, as to each type of property described below, whether now owned or hereafter acquired by RemainCo, wherever located, and whether now or hereafter existing or arising (collectively, the “</w:t>
      </w:r>
      <w:r>
        <w:rPr>
          <w:rFonts w:ascii="Times New Roman" w:cs="Times New Roman" w:eastAsia="Times New Roman" w:hAnsi="Times New Roman"/>
          <w:sz w:val="18"/>
          <w:szCs w:val="18"/>
          <w:u w:val="single" w:color="auto"/>
          <w:color w:val="auto"/>
        </w:rPr>
        <w:t>Vanda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Milestones Collateral</w:t>
      </w:r>
      <w:r>
        <w:rPr>
          <w:rFonts w:ascii="Times New Roman" w:cs="Times New Roman" w:eastAsia="Times New Roman" w:hAnsi="Times New Roman"/>
          <w:sz w:val="18"/>
          <w:szCs w:val="18"/>
          <w:color w:val="auto"/>
        </w:rPr>
        <w:t>”): (i) any and all Vanda Milestones and any and all rights, claims, causes of action, and entitlements to receive the Vanda Milestones, including all contract rights under any agreement (including, without limitation, the Vanda License Agreement) pursuant to which the Vanda Milestones arise or may become payable; (ii) all cash and cash equivalents constituting or derived from any Vanda Milestones; (iii) any account or deposit account into which any Vanda Milestones are deposited; (iv) all proceeds of, collateral for, income, royalties and other payments now or hereafter due and payable with respect to, any and all of the Vanda Milestones Collateral; and (v) to the extent not otherwise included, any indemnity, warranty or guaranty, payable by reason of loss or damage to or otherwise with respect to any of the Vanda Milestones Collateral.</w:t>
      </w:r>
    </w:p>
    <w:p>
      <w:pPr>
        <w:spacing w:after="0" w:line="191" w:lineRule="exact"/>
        <w:rPr>
          <w:rFonts w:ascii="Times New Roman" w:cs="Times New Roman" w:eastAsia="Times New Roman" w:hAnsi="Times New Roman"/>
          <w:sz w:val="18"/>
          <w:szCs w:val="18"/>
          <w:color w:val="auto"/>
        </w:rPr>
      </w:pPr>
    </w:p>
    <w:p>
      <w:pPr>
        <w:ind w:left="4" w:firstLine="1428"/>
        <w:spacing w:after="0" w:line="268" w:lineRule="auto"/>
        <w:tabs>
          <w:tab w:leader="none" w:pos="169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RemainCo agrees that from time to time, at the expense of RemainCo, RemainCo will promptly execute and deliver, or otherwise authenticate, all instruments and documents, and take all reasonable actions that SpinCo (and its successors and permitted assigns) may request, in order to grant, preserve, perfect and/or protect any security interest granted or purported to be granted by RemainCo in this </w:t>
      </w:r>
      <w:r>
        <w:rPr>
          <w:rFonts w:ascii="Times New Roman" w:cs="Times New Roman" w:eastAsia="Times New Roman" w:hAnsi="Times New Roman"/>
          <w:sz w:val="17"/>
          <w:szCs w:val="17"/>
          <w:u w:val="single" w:color="auto"/>
          <w:color w:val="auto"/>
        </w:rPr>
        <w:t>Section 4.9</w:t>
      </w:r>
      <w:r>
        <w:rPr>
          <w:rFonts w:ascii="Times New Roman" w:cs="Times New Roman" w:eastAsia="Times New Roman" w:hAnsi="Times New Roman"/>
          <w:sz w:val="17"/>
          <w:szCs w:val="17"/>
          <w:color w:val="auto"/>
        </w:rPr>
        <w:t xml:space="preserve"> or to enable SpinCo (and its successors and permitted assigns) to exercise and enforce its rights and remedies in this </w:t>
      </w:r>
      <w:r>
        <w:rPr>
          <w:rFonts w:ascii="Times New Roman" w:cs="Times New Roman" w:eastAsia="Times New Roman" w:hAnsi="Times New Roman"/>
          <w:sz w:val="17"/>
          <w:szCs w:val="17"/>
          <w:u w:val="single" w:color="auto"/>
          <w:color w:val="auto"/>
        </w:rPr>
        <w:t>Section 4.9</w:t>
      </w:r>
      <w:r>
        <w:rPr>
          <w:rFonts w:ascii="Times New Roman" w:cs="Times New Roman" w:eastAsia="Times New Roman" w:hAnsi="Times New Roman"/>
          <w:sz w:val="17"/>
          <w:szCs w:val="17"/>
          <w:color w:val="auto"/>
        </w:rPr>
        <w:t xml:space="preserve"> with respect to any Vanda Milestones Collateral. Without limiting the generality of the foregoing, RemainCo shall (i) use commercially reasonable efforts to cause any and all Vanda Milestones to be deposited into a segregated deposit account reasonably acceptable to SpinCo (the “</w:t>
      </w:r>
      <w:r>
        <w:rPr>
          <w:rFonts w:ascii="Times New Roman" w:cs="Times New Roman" w:eastAsia="Times New Roman" w:hAnsi="Times New Roman"/>
          <w:sz w:val="17"/>
          <w:szCs w:val="17"/>
          <w:u w:val="single" w:color="auto"/>
          <w:color w:val="auto"/>
        </w:rPr>
        <w:t>Vanda Milestones Collateral Account</w:t>
      </w:r>
      <w:r>
        <w:rPr>
          <w:rFonts w:ascii="Times New Roman" w:cs="Times New Roman" w:eastAsia="Times New Roman" w:hAnsi="Times New Roman"/>
          <w:sz w:val="17"/>
          <w:szCs w:val="17"/>
          <w:color w:val="auto"/>
        </w:rPr>
        <w:t>”) and (ii) upon the request of SpinCo (and its successors and permitted assigns), in its sole discretion, promptly with respect to any Vanda Milestones Collateral:</w:t>
      </w:r>
    </w:p>
    <w:p>
      <w:pPr>
        <w:spacing w:after="0" w:line="2" w:lineRule="exact"/>
        <w:rPr>
          <w:rFonts w:ascii="Times New Roman" w:cs="Times New Roman" w:eastAsia="Times New Roman" w:hAnsi="Times New Roman"/>
          <w:sz w:val="17"/>
          <w:szCs w:val="17"/>
          <w:color w:val="auto"/>
        </w:rPr>
      </w:pPr>
    </w:p>
    <w:p>
      <w:pPr>
        <w:jc w:val="both"/>
        <w:ind w:left="4" w:right="80" w:hanging="4"/>
        <w:spacing w:after="0" w:line="255"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or authenticate and file such financing or continuation statements, or amendments thereto, and such other instruments or notices, as may be reasonably necessary, in order to perfect and preserve the perfected security interest granted or purported to be granted by RemainCo in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and (y) execute and deliver to SpinCo (and its successors and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63" w:name="page64"/>
    <w:bookmarkEnd w:id="6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assigns) a springing deposit account control agreement with SpinCo (and its successors and permitted assigns) and the depository bank with respect to the Vanda Milestones Collateral Account, in form and substance reasonably satisfactory to SpinCo (and its successors and permitted assigns), pursuant to which SpinCo (and its successors and permitted assigns) shall have control over the Vanda Milestones Collateral Account for purposes of Article 9 of the UCC.</w:t>
      </w:r>
    </w:p>
    <w:p>
      <w:pPr>
        <w:spacing w:after="0" w:line="180" w:lineRule="exact"/>
        <w:rPr>
          <w:sz w:val="20"/>
          <w:szCs w:val="20"/>
          <w:color w:val="auto"/>
        </w:rPr>
      </w:pPr>
    </w:p>
    <w:p>
      <w:pPr>
        <w:ind w:firstLine="1428"/>
        <w:spacing w:after="0" w:line="253" w:lineRule="auto"/>
        <w:tabs>
          <w:tab w:leader="none" w:pos="167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RemainCo hereby authorizes SpinCo (and its successors and permitted assigns) to file one or more financing or continuation statements, and amendments thereto, including, without limitation, one or more financing statements indicating that such financing statements cover the Vanda Milestones Collateral (or words of similar effect), in each case without the signature of RemainCo, and regardless of whether any particular asset described in such financing statements falls within the scope of the UCC or the granting clause of this Agreement. A photocopy or other reproduction of this Agreement or any financing statement covering the Vanda Milestones Collateral or any part thereof shall be sufficient as a financing statement where permitted by law. Upon any failure by RemainCo to remit Vanda Milestones to SpinCo in accordance with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(i) SpinCo (and its successors and permitted assigns) may exercise in respect of the Vanda Milestones Collateral, in addition to other rights and remedies provided for herein or otherwise available to it, all the rights and remedies of a secured party upon default under the UCC (whether or not the UCC applies to the affected Vanda Milestones Collateral), and (ii) all payments received by RemainCo in respect of the Vanda Milestones Collateral shall be received in trust for the benefit of SpinCo (and its successors and permitted assigns)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shall be segregated from other funds of RemainCo and shall be forthwith paid over to SpinCo (and its successors and permitted assigns) in the same form as so received (with any necessary indorsement).</w:t>
      </w:r>
    </w:p>
    <w:p>
      <w:pPr>
        <w:spacing w:after="0" w:line="19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the foregoing obligations will be binding upon RemainCo’s successors and assigns of the Vanda License Agreement. RemainCo shall ensure that any successor or assignee of RemainCo to the Vanda License Agreement expressly assumes in writing (with a copy of the agreement provided to SpinCo (and its successors and permitted assigns)) the covenants set forth in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All obligations set forth in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shall expire upon SpinCo’s receipt of the last Vanda Milestone under the Vanda License Agreement.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INDEMNIFICATION; RELEASE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Release of Pre-Distribution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428"/>
        <w:spacing w:after="0" w:line="256" w:lineRule="auto"/>
        <w:tabs>
          <w:tab w:leader="none" w:pos="167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provided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(ii) as may be otherwise expressly provided in this Agreement or in the Transition Services Agreement, and (iii) for any matter for which any Indemnified Party is entitled to indemnification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each Party (A) on behalf of itself and each member of its Group, and to the extent permitted by Law, all Persons who at any time prior to the Distribution were stockholders, directors, officers, agents or employees of any member of its respective Group (in their respective capacities as such), in each case, together with their respective heirs, executors, administrators, successors and assigns, (x) does hereby, irrevocably but effective at the time of and conditioned upon the occurrence of the Distribution, and (y) at the time of the Distribution shall remise, release and forever discharge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440" w:top="270" w:right="499" w:bottom="1440" w:gutter="0" w:footer="0" w:header="0"/>
        </w:sectPr>
      </w:pPr>
    </w:p>
    <w:bookmarkStart w:id="64" w:name="page65"/>
    <w:bookmarkEnd w:id="6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other Party and the other members of such other Party’s Group and their respective successors and all Persons who at any time prior to the Distribution were stockholders, directors, officers, agents or employees of any member of such other Party’s Group (in their capacity as such), in each case, together with their respective heirs, executors, administrators, successors and assigns from any and all Liabilities whatsoever, whether at Law or in equity, whether arising under any Contract, by operation of Law or otherwise, in each case, existing or arising from any acts or events occurring or failing to occur or alleged to have occurred or to have failed to occur or any conditions existing or alleged to have existed on or before the Distribution, including in connection with the Pre-Closing Reorganization, Distribution or any of the other transactions contemplated hereunder and under the Transition Services Agreement and (B) in any event will not, and will cause its respective Subsidiaries not to, bring any Proceeding or claim against any member of the other Group in respect of such Liabilities. Each Party hereby acknowledges that it is aware that factual matters now unknown to it may have given or may hereafter give rise to Liabilities that are presently unknown, unanticipated and unsuspected, and further agrees that this release has been negotiated and agreed upon in light of that awareness.</w:t>
      </w:r>
    </w:p>
    <w:p>
      <w:pPr>
        <w:spacing w:after="0" w:line="194" w:lineRule="exact"/>
        <w:rPr>
          <w:sz w:val="20"/>
          <w:szCs w:val="20"/>
          <w:color w:val="auto"/>
        </w:rPr>
      </w:pPr>
    </w:p>
    <w:p>
      <w:pPr>
        <w:ind w:right="220" w:firstLine="1428"/>
        <w:spacing w:after="0" w:line="261" w:lineRule="auto"/>
        <w:tabs>
          <w:tab w:leader="none" w:pos="168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impair or otherwise affect any right of either Party and, as applicable, a member of such Party’s Group, to enforce this Agreement, the Transition Services Agreement or any agreements, arrangements, commitments or understandings contemplated in this Agreement or the Transition Services Agreement to continue in effect after the Distribution Effective Time. In addition, nothing contained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release any Person from:</w:t>
      </w:r>
    </w:p>
    <w:p>
      <w:pPr>
        <w:spacing w:after="0" w:line="71" w:lineRule="exact"/>
        <w:rPr>
          <w:rFonts w:ascii="Times New Roman" w:cs="Times New Roman" w:eastAsia="Times New Roman" w:hAnsi="Times New Roman"/>
          <w:sz w:val="18"/>
          <w:szCs w:val="18"/>
          <w:color w:val="auto"/>
        </w:rPr>
      </w:pPr>
    </w:p>
    <w:p>
      <w:pPr>
        <w:ind w:firstLine="1979"/>
        <w:spacing w:after="0" w:line="266" w:lineRule="auto"/>
        <w:tabs>
          <w:tab w:leader="none" w:pos="219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assumed, Transferred or allocated to a Party or a member of such Party’s Group pursuant to or contemplated by, or any other Liability of any member of such Group under, this Agreement or the Transition Services Agreement including (A) with respect to the Company, any RemainCo Liability and (B) with respect to SpinCo, any SpinCo Liability;</w:t>
      </w:r>
    </w:p>
    <w:p>
      <w:pPr>
        <w:spacing w:after="0" w:line="175" w:lineRule="exact"/>
        <w:rPr>
          <w:rFonts w:ascii="Times New Roman" w:cs="Times New Roman" w:eastAsia="Times New Roman" w:hAnsi="Times New Roman"/>
          <w:sz w:val="18"/>
          <w:szCs w:val="18"/>
          <w:color w:val="auto"/>
        </w:rPr>
      </w:pPr>
    </w:p>
    <w:p>
      <w:pPr>
        <w:ind w:right="480" w:firstLine="1979"/>
        <w:spacing w:after="0" w:line="282" w:lineRule="auto"/>
        <w:tabs>
          <w:tab w:leader="none" w:pos="224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unpaid amounts for products or services or refunds owing on products or services due on a value-received basis for work done by a member of one Group or its Affiliates at the request or on behalf of a member of the other Group;</w:t>
      </w:r>
    </w:p>
    <w:p>
      <w:pPr>
        <w:spacing w:after="0" w:line="161" w:lineRule="exact"/>
        <w:rPr>
          <w:rFonts w:ascii="Times New Roman" w:cs="Times New Roman" w:eastAsia="Times New Roman" w:hAnsi="Times New Roman"/>
          <w:sz w:val="18"/>
          <w:szCs w:val="18"/>
          <w:color w:val="auto"/>
        </w:rPr>
      </w:pPr>
    </w:p>
    <w:p>
      <w:pPr>
        <w:ind w:right="40" w:firstLine="1979"/>
        <w:spacing w:after="0" w:line="266" w:lineRule="auto"/>
        <w:tabs>
          <w:tab w:leader="none" w:pos="229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provided in or resulting from any other Contract or understanding that is entered into after the Distribution Effective Time between any Party (and/or a member of such Party’s or Parties’ Group), on the one hand, and the other Party (and/or a member of such other Party’s Group), on the other hand;</w:t>
      </w:r>
    </w:p>
    <w:p>
      <w:pPr>
        <w:spacing w:after="0" w:line="175" w:lineRule="exact"/>
        <w:rPr>
          <w:rFonts w:ascii="Times New Roman" w:cs="Times New Roman" w:eastAsia="Times New Roman" w:hAnsi="Times New Roman"/>
          <w:sz w:val="18"/>
          <w:szCs w:val="18"/>
          <w:color w:val="auto"/>
        </w:rPr>
      </w:pPr>
    </w:p>
    <w:p>
      <w:pPr>
        <w:ind w:right="300" w:firstLine="1979"/>
        <w:spacing w:after="0" w:line="266" w:lineRule="auto"/>
        <w:tabs>
          <w:tab w:leader="none" w:pos="228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that the Parties may have with respect to indemnification pursuant to this Agreement, the Transition Services Agreement or otherwise for claims brought against the Parties by other Persons, which Liability shall be governed by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if applicable, the appropriate provisions of the Transition Services Agreement; and</w:t>
      </w:r>
    </w:p>
    <w:p>
      <w:pPr>
        <w:spacing w:after="0" w:line="175"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the release of which would result in a release of any Person other than the Persons released in</w:t>
      </w:r>
    </w:p>
    <w:p>
      <w:pPr>
        <w:spacing w:after="0" w:line="27" w:lineRule="exact"/>
        <w:rPr>
          <w:sz w:val="20"/>
          <w:szCs w:val="20"/>
          <w:color w:val="auto"/>
        </w:rPr>
      </w:pPr>
    </w:p>
    <w:p>
      <w:pPr>
        <w:ind w:right="80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provided that the Parties agree not to bring any Proceeding or permit any other member of their respective Group to bring any Proceeding against a Person released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with respect to such Liability.</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440" w:top="270" w:right="499" w:bottom="1440" w:gutter="0" w:footer="0" w:header="0"/>
        </w:sectPr>
      </w:pPr>
    </w:p>
    <w:bookmarkStart w:id="65" w:name="page66"/>
    <w:bookmarkEnd w:id="65"/>
    <w:p>
      <w:pPr>
        <w:ind w:firstLine="1428"/>
        <w:spacing w:after="0" w:line="256" w:lineRule="auto"/>
        <w:tabs>
          <w:tab w:leader="none" w:pos="16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Nothing contained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shall release the Company from indemnifying any director, officer or employee of SpinCo who was a director, officer or employee of the Company or any of its Affiliates prior to the Distribution Effective Time to the extent such director, officer or employee is or becomes a named defendant in any Proceeding with respect to which he or she was entitled to such indemnification pursuant to then-existing obligations; it being understood that if the underlying obligation giving rise to such Proceeding is a SpinCo Liability, SpinCo shall indemnify the Company for such Liability (including the Company’s costs to indemnify the director, officer or employee) in accordance with the provisions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320" w:firstLine="1428"/>
        <w:spacing w:after="0" w:line="266" w:lineRule="auto"/>
        <w:tabs>
          <w:tab w:leader="none" w:pos="16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not, and shall not permit any member of its Group to, make any claim, demand or offset, or commence any Proceeding asserting any claim or demand, including any claim of contribution or any indemnification, against the other Party or any member of the other Party’s Group, or any other Person released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with respect to any Liabilities released pursuant to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428"/>
        <w:spacing w:after="0" w:line="254" w:lineRule="auto"/>
        <w:tabs>
          <w:tab w:leader="none" w:pos="16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the intent of each Party, by virtue of, and in accordance with, the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to provide, to the fullest extent permitted by applicable Law, for a full and complete release and discharge of all Liabilities existing or arising from all acts and events occurring or failing to occur or alleged to have occurred or to have failed to occur and all conditions existing or alleged to have existed at or before the Distribution Effective Time, whether known or unknown, between or among either Party (and/or a member of such Party’s Group), on the one hand, and the other Party (and/or a member of such other Party’s Group), on the other hand (including any contractual agreements or arrangements existing or alleged to exist between or among any such members at or before the Distribution Effective Time), except as specifically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At any time, at the reasonable request of the other Party, each Party shall cause each member of its respective Group and, to the extent practicable, each other Person on whose behalf it released Liabilities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to execute and deliver releases, to the fullest extent permitted by applicable Law, reflecting the provisions hereof.</w:t>
      </w:r>
    </w:p>
    <w:p>
      <w:pPr>
        <w:spacing w:after="0" w:line="188" w:lineRule="exact"/>
        <w:rPr>
          <w:rFonts w:ascii="Times New Roman" w:cs="Times New Roman" w:eastAsia="Times New Roman" w:hAnsi="Times New Roman"/>
          <w:sz w:val="18"/>
          <w:szCs w:val="18"/>
          <w:color w:val="auto"/>
        </w:rPr>
      </w:pPr>
    </w:p>
    <w:p>
      <w:pPr>
        <w:ind w:firstLine="1428"/>
        <w:spacing w:after="0" w:line="261" w:lineRule="auto"/>
        <w:tabs>
          <w:tab w:leader="none" w:pos="165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RemainCo and SpinCo, on behalf of itself and its Subsidiaries, hereby waives any claims, rights of termination and any other rights under any Contract by and between or among any member of the RemainCo Group or the SpinCo Group, related to or arising out of the Distribution (including with respect to any “change of control” or similar provision or from any Party no longer being an Affiliate of the other Party, and agrees that any change in rights or obligations that would automatically be effective as a result thereof be deemed amended to no longer apply).</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Except as otherwise specifically set forth in any provision of this Agreement, from and after the Distribution Date, the Company agrees to indemnify, defend and hold harmless the SpinCo Indemnitees from and against any and all Losses of the SpinCo Indemnitees to the extent arising out of, by reason of or otherwise in connection with (i) the RemainCo Liabilities, (ii) the failure of the Company or any other member of the RemainCo Group or any other Person to pay, perform or otherwise promptly discharge 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66" w:name="page67"/>
    <w:bookmarkEnd w:id="66"/>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RemainCo Liabilities, whether prior to, at or after the Distribution Effective Time, (iii) any breach by any member of the RemainCo Group of this Agreement or the Transition Services Agreement, (iv) except to the extent it relates to SpinCo Liabilities, any guarantee, indemnification obligation, surety bond or other credit support agreement, arrangement, commitment or understanding to the extent discharged or performed by any member of the RemainCo Group for the benefit of any member of the SpinCo Group that survives the Distribution Effective Time, (v) any untrue statement or alleged untrue statement of a material fact or omission or alleged omission to state a material fact required to be stated therein or necessary to make the statements therein not misleading, with respect to all information supplied by the Company in writing expressly for inclusion in the Spin-Off Registration Statement or the related Information Statement (including any amendments or supplements), or any other filings with the SEC made in connection with the transactions contemplated by this Agreement, (vi) any Liabilities of the SpinCo Indemnitees relating to, arising out of or resulting from claims by any holders of common stock of the Company, in their capacity as such, in connection with the Distribution and (vii) any Company Indemnified Taxes.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apply with respect to any Taxes solely to the extent such Taxes constitute Company Indemnified Taxes and in no event shall the Company be required to indemnify, defend and hold the SpinCo Indemnitees harmless from and against any Losses to the extent such Losses relate to Taxes that are not Company Indemnified Taxes.</w:t>
      </w:r>
    </w:p>
    <w:p>
      <w:pPr>
        <w:spacing w:after="0" w:line="190" w:lineRule="exact"/>
        <w:rPr>
          <w:sz w:val="20"/>
          <w:szCs w:val="20"/>
          <w:color w:val="auto"/>
        </w:rPr>
      </w:pPr>
    </w:p>
    <w:p>
      <w:pPr>
        <w:ind w:left="4" w:right="40" w:firstLine="991"/>
        <w:spacing w:after="0" w:line="269"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Indemnification by SpinCo</w:t>
      </w:r>
      <w:r>
        <w:rPr>
          <w:rFonts w:ascii="Times New Roman" w:cs="Times New Roman" w:eastAsia="Times New Roman" w:hAnsi="Times New Roman"/>
          <w:sz w:val="17"/>
          <w:szCs w:val="17"/>
          <w:color w:val="auto"/>
        </w:rPr>
        <w:t>. Except as otherwise specifically set forth in any provision of this Agreement, from and after the Distribution Date, SpinCo agrees to indemnify, defend and hold harmless the RemainCo Indemnitees from and against any and all Losses of the RemainCo Indemnitees to the extent arising out of, by reason of or otherwise in connection with (i) the SpinCo Liabilities, (ii) the failure of SpinCo or any other member of the SpinCo Group or any other Person to pay, perform or otherwise promptly discharge any SpinCo Liabilities, whether prior to, at or after the Distribution Effective Time, (iii) any breach by any member of the SpinCo Group of this Agreement or the Transition Services Agreement,</w:t>
      </w:r>
    </w:p>
    <w:p>
      <w:pPr>
        <w:spacing w:after="0" w:line="3" w:lineRule="exact"/>
        <w:rPr>
          <w:sz w:val="20"/>
          <w:szCs w:val="20"/>
          <w:color w:val="auto"/>
        </w:rPr>
      </w:pPr>
    </w:p>
    <w:p>
      <w:pPr>
        <w:ind w:left="4" w:hanging="4"/>
        <w:spacing w:after="0" w:line="251" w:lineRule="auto"/>
        <w:tabs>
          <w:tab w:leader="none" w:pos="3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it relates to RemainCo Liabilities, any guarantee, indemnification obligation, surety bond or other credit support agreement, arrangement, commitment or understanding to the extent discharged or performed by any member of the SpinCo Group for the benefit of any member of the RemainCo Group that survives the Distribution Effective Time, (v) any untrue statement or alleged untrue statement of a material fact or omission or alleged omission to state a material fact required to be stated therein or necessary to make the statements therein not misleading, with respect to all information contained in the Spin-Off Registration Statement or the related Information Statement (including any amendments or supplements), or any other filings with the SEC made in connection with the transactions contemplated by this Agreement (but excluding any such Liabilities to the extent relating to information supplied by the Company in writing expressly for inclusion in the Spin-Off Registration Statement or the related Information Statement or such other filings), (vi) any Liabilities of the RemainCo Indemnitees relating to, arising out of or resulting from claims by any holders of common stock of SpinCo, in their capacity as such, in connection with the Distribution and (vii) any SpinCo Indemnified Taxes.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shall apply with respect to any Taxes solely to the extent such Taxes constitute SpinCo Indemnified Taxes and in no event shall SpinCo be required to indemnify, defend and hold the RemainCo Indemnitees harmless from and against any Losses to the extent such Losses relate to Taxes that are not SpinCo Indemnified Taxes.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67" w:name="page68"/>
    <w:bookmarkEnd w:id="6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5.4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428"/>
        <w:spacing w:after="0" w:line="273" w:lineRule="auto"/>
        <w:tabs>
          <w:tab w:leader="none" w:pos="1677"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claim or demand is made by a Third Party (a “</w:t>
      </w:r>
      <w:r>
        <w:rPr>
          <w:rFonts w:ascii="Times New Roman" w:cs="Times New Roman" w:eastAsia="Times New Roman" w:hAnsi="Times New Roman"/>
          <w:sz w:val="17"/>
          <w:szCs w:val="17"/>
          <w:u w:val="single" w:color="auto"/>
          <w:color w:val="auto"/>
        </w:rPr>
        <w:t>Third Party Claim</w:t>
      </w:r>
      <w:r>
        <w:rPr>
          <w:rFonts w:ascii="Times New Roman" w:cs="Times New Roman" w:eastAsia="Times New Roman" w:hAnsi="Times New Roman"/>
          <w:sz w:val="17"/>
          <w:szCs w:val="17"/>
          <w:color w:val="auto"/>
        </w:rPr>
        <w:t>”) against a SpinCo Indemnitee or a RemainCo Indemnitee (each, an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xml:space="preserve">”) as to which such Indemnified Party is entitled to indemnification pursuant to this Agreement, such Indemnified Party shall notify the Party which is or may be required pursuant to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5.3</w:t>
      </w:r>
      <w:r>
        <w:rPr>
          <w:rFonts w:ascii="Times New Roman" w:cs="Times New Roman" w:eastAsia="Times New Roman" w:hAnsi="Times New Roman"/>
          <w:sz w:val="17"/>
          <w:szCs w:val="17"/>
          <w:color w:val="auto"/>
        </w:rPr>
        <w:t xml:space="preserve"> to make such indemnification (the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in writing, and in reasonable detail (a “</w:t>
      </w:r>
      <w:r>
        <w:rPr>
          <w:rFonts w:ascii="Times New Roman" w:cs="Times New Roman" w:eastAsia="Times New Roman" w:hAnsi="Times New Roman"/>
          <w:sz w:val="17"/>
          <w:szCs w:val="17"/>
          <w:u w:val="single" w:color="auto"/>
          <w:color w:val="auto"/>
        </w:rPr>
        <w:t>Claim Notice</w:t>
      </w:r>
      <w:r>
        <w:rPr>
          <w:rFonts w:ascii="Times New Roman" w:cs="Times New Roman" w:eastAsia="Times New Roman" w:hAnsi="Times New Roman"/>
          <w:sz w:val="17"/>
          <w:szCs w:val="17"/>
          <w:color w:val="auto"/>
        </w:rPr>
        <w:t xml:space="preserve">”). The Claim Notice shall be given promptly after the Indemnified Party becomes aware of the facts indicating that a claim for indemnification may be warranted and shall state in reasonable detail (to the extent known) the nature and amount of the claim. The failure of the Indemnified Party to promptly deliver a Claim Notice shall not relieve the Indemnifying Party of its obligations under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except to the extent that the Indemnifying Party is actually and materially prejudiced by the failure to give such Claim Notice.</w:t>
      </w:r>
    </w:p>
    <w:p>
      <w:pPr>
        <w:spacing w:after="0" w:line="171" w:lineRule="exact"/>
        <w:rPr>
          <w:rFonts w:ascii="Times New Roman" w:cs="Times New Roman" w:eastAsia="Times New Roman" w:hAnsi="Times New Roman"/>
          <w:sz w:val="17"/>
          <w:szCs w:val="17"/>
          <w:color w:val="auto"/>
        </w:rPr>
      </w:pPr>
    </w:p>
    <w:p>
      <w:pPr>
        <w:ind w:firstLine="1428"/>
        <w:spacing w:after="0" w:line="252" w:lineRule="auto"/>
        <w:tabs>
          <w:tab w:leader="none" w:pos="16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Notice relates to a Third Party Claim, the Indemnifying Party may, through counsel of its own choosing and reasonably satisfactory to the Indemnified Party, assume the defense and investigation of such Third Party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Indemnified Party shall be (i) entitled to participate in any such defense with counsel of its own choice at its own expense and (ii) entitled to participate in any such defense with counsel of its own choice at the expense of the Indemnifying Party if representation of both Parties by the same counsel creates a conflict of interest under applicable standards of professional conduct;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Indemnifying Party may not assume the defense and investigation of a Third Party Claim if (x) the Indemnified Party reasonably determines that such assumption and investigation would have an adverse effect on Indemnified Party’s relationship with a Governmental Authority or a material supplier, customer or subcontractor and (y) such assumption and investigation would not, in the Indemnifying Party’s reasonable determination, have an adverse effect on the Indemnifying Party’s relationship with a Governmental Authority or a material supplier, customer or subcontractor. In any event, if the Indemnifying Party fails to take reasonable steps necessary to defend diligently the Proceeding within thirty (30) days after receiving a Claim Notice with respect to the Third Party Claim, the Indemnified Party may assume such defense, and the fees and expenses of its attorneys will be covered by the indemnity provided for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Indemnifying Party shall not, without the consent of the Indemnified Party (which consent shall not be unreasonably withheld, conditioned or delayed), settle or compromise any pending or threatened Third Party Claim in respect of which indemnification may be sought hereunder (whether or not the Indemnified Party is an actual or potential party to such Proceeding) or consent to the entry of any judgment (i) which does not, to the extent that an Indemnified Party may have any Liability with respect to such Proceeding, include as an unconditional term thereof the delivery by the claimant or plaintiff to the Indemnified Party of a written release from all Liability in respect of such Third Party Claim, (ii) which includes any statement as to or an admission of fault, culpability or a failure to act, by or on behalf of any Indemnified Party or (iii) in any manner that involves any injunctive relief against the Indemnified Party or that may materially and adversely affect the Indemnified Party. The Indemnified Party may not compromise or settle any pending or threatened Third Party Claim without the prior written consent of the Indemnifying Party, which consent shall not be unreasonably withheld, conditioned or delayed, unless the sole relief granted is equitable relief for which the Indemnifying Party would have no Liability or to which the Indemnifying Party would not be subject.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68" w:name="page69"/>
    <w:bookmarkEnd w:id="68"/>
    <w:p>
      <w:pPr>
        <w:ind w:left="-20" w:right="20" w:firstLine="1428"/>
        <w:spacing w:after="0" w:line="254" w:lineRule="auto"/>
        <w:tabs>
          <w:tab w:leader="none" w:pos="165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agree to cooperate fully with each other in connection with the defense, negotiation or settlement of any such Third Party Claim. In connection with any fact, matter, event or circumstance that may give rise to a claim against an Indemnifying Party under this Agreement, the Indemnified Party shall: (i) preserve all material evidence relevant to the claim; (ii) allow the Indemnifying Party’s Representatives to investigate the fact, matter, event or circumstance alleged to give rise to such claim and whether and to what extent any amount is payable in respect of such claim; and (iii) disclose (at its own expense) to the Indemnifying Party and its Representatives all material of which it is aware which relates to the claim and provide all such information and assistance, including access to premises and personnel, and the right to examine and copy or photograph any assets, accounts, documents and records, as the Indemnifying Party or its Representatives may reasonably request, subject to the Indemnifying Party or its Representatives agreeing in such form as the Indemnified Party may reasonably require to keep all such information confidential and to use it only for the purpose of investigating and defending the claim in question.</w:t>
      </w:r>
    </w:p>
    <w:p>
      <w:pPr>
        <w:spacing w:after="0" w:line="188" w:lineRule="exact"/>
        <w:rPr>
          <w:rFonts w:ascii="Times New Roman" w:cs="Times New Roman" w:eastAsia="Times New Roman" w:hAnsi="Times New Roman"/>
          <w:sz w:val="18"/>
          <w:szCs w:val="18"/>
          <w:color w:val="auto"/>
        </w:rPr>
      </w:pPr>
    </w:p>
    <w:p>
      <w:pPr>
        <w:ind w:left="-20" w:firstLine="1428"/>
        <w:spacing w:after="0" w:line="256" w:lineRule="auto"/>
        <w:tabs>
          <w:tab w:leader="none" w:pos="166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intentional fraud and as otherwise provided in this Agreement, the rights and remedies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exclusive and in lieu of any and all other rights and remedies that any Party may have against any other Party or any failure to perform any covenant or agreement set forth in this Agreement. Each Party expressly waives any and all other rights, remedies and causes of action it or its Affiliates may have against the other Party, or their respective Affiliates, respectively, now or in the future under any Law with respect to the transactions contemplated by this Agreement. The remedies expressly provided in this Agreement shall constitute the sole and exclusive basis for and means of recourse between the Parties with respect to transactions contemplated by this Agreement.</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Limitation of Liability; Mitigation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60" w:firstLine="1428"/>
        <w:spacing w:after="0" w:line="282" w:lineRule="auto"/>
        <w:tabs>
          <w:tab w:leader="none" w:pos="165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may obtain duplicative indemnification or other recovery for Losses and recoveries under one or more provisions of this Agreement or the Transition Services Agreement or under any other Contract, agreement, arrangement or understanding.</w:t>
      </w:r>
    </w:p>
    <w:p>
      <w:pPr>
        <w:spacing w:after="0" w:line="161" w:lineRule="exact"/>
        <w:rPr>
          <w:rFonts w:ascii="Times New Roman" w:cs="Times New Roman" w:eastAsia="Times New Roman" w:hAnsi="Times New Roman"/>
          <w:sz w:val="18"/>
          <w:szCs w:val="18"/>
          <w:color w:val="auto"/>
        </w:rPr>
      </w:pPr>
    </w:p>
    <w:p>
      <w:pPr>
        <w:ind w:left="-20" w:firstLine="1428"/>
        <w:spacing w:after="0" w:line="258" w:lineRule="auto"/>
        <w:tabs>
          <w:tab w:leader="none" w:pos="166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Indemnified Party shall use its respective commercially reasonable efforts to pursue all legal rights and remedies available to mitigate and minimize any Losses in respect of which such Indemnified Party is entitled to recover from an Indemnifying Party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promptly upon becoming aware of any event or circumstance that could reasonably be expected to constitute or give rise to such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efforts in respect of Taxes shall not be required to the extent such efforts give rise to a greater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cost to the Indemnified Party.</w:t>
      </w:r>
    </w:p>
    <w:p>
      <w:pPr>
        <w:spacing w:after="0" w:line="183" w:lineRule="exact"/>
        <w:rPr>
          <w:rFonts w:ascii="Times New Roman" w:cs="Times New Roman" w:eastAsia="Times New Roman" w:hAnsi="Times New Roman"/>
          <w:sz w:val="18"/>
          <w:szCs w:val="18"/>
          <w:color w:val="auto"/>
        </w:rPr>
      </w:pPr>
    </w:p>
    <w:p>
      <w:pPr>
        <w:ind w:left="-20" w:right="180" w:firstLine="1428"/>
        <w:spacing w:after="0" w:line="256" w:lineRule="auto"/>
        <w:tabs>
          <w:tab w:leader="none" w:pos="165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indemnity payment made by a Party to the other Party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 Loss shall be net of an amount equal to (i) any insurance proceeds actually received and any other amounts actually recovered from Third Parties (whether by payment, discount, credit, relief, insurance, reductions in cash Tax or otherwise) by the Indemnified Party or an Affiliate in respect of such claim, less (ii) any related costs and expenses of such receipt or recovery, including the aggregate cost of pursuing any related insurance claims and any Taxes. If the Indemnified Party or an Affiliate receives any amounts under applicable insurance policies, or from any other Person alleged to be responsible for any Losses, subsequent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60"/>
          </w:cols>
          <w:pgMar w:left="460" w:top="270" w:right="479" w:bottom="1440" w:gutter="0" w:footer="0" w:header="0"/>
        </w:sectPr>
      </w:pPr>
    </w:p>
    <w:bookmarkStart w:id="69" w:name="page70"/>
    <w:bookmarkEnd w:id="69"/>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 indemnification payment by the Indemnifying Party, then such Indemnified Party shall promptly reimburse the Indemnifying Party for any payment made or expense incurred by such Indemnifying Party in connection with providing such indemnification payment up to the amount received by the Indemnified Party or its Affiliate, net of expenses incurred by such Indemnified Party in collecting such amount.</w:t>
      </w:r>
    </w:p>
    <w:p>
      <w:pPr>
        <w:spacing w:after="0" w:line="176" w:lineRule="exact"/>
        <w:rPr>
          <w:sz w:val="20"/>
          <w:szCs w:val="20"/>
          <w:color w:val="auto"/>
        </w:rPr>
      </w:pPr>
    </w:p>
    <w:p>
      <w:pPr>
        <w:ind w:firstLine="1428"/>
        <w:spacing w:after="0" w:line="256" w:lineRule="auto"/>
        <w:tabs>
          <w:tab w:leader="none" w:pos="16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insurer who would otherwise be obligated to pay any claim shall not be relieved of the responsibility with respect thereto or have any subrogation rights with respect thereto solely by virtue of the indemnification provisions of this Agreement. The Indemnified Party shall use its commercially reasonable efforts to seek to collect or recover any Third Party insurance proceeds or other indemnification, contribution or similar payments to which the Indemnified Party is entitled in connection with any Liability for which the Indemnified Party seeks indemnification pursuant to this Article V; provided that the Indemnified Party’s ability or inability to collect or recover any such insurance proceeds shall not limit the Indemnifying Party’s obligations under this Agreement.</w:t>
      </w:r>
    </w:p>
    <w:p>
      <w:pPr>
        <w:spacing w:after="0" w:line="187" w:lineRule="exact"/>
        <w:rPr>
          <w:rFonts w:ascii="Times New Roman" w:cs="Times New Roman" w:eastAsia="Times New Roman" w:hAnsi="Times New Roman"/>
          <w:sz w:val="18"/>
          <w:szCs w:val="18"/>
          <w:color w:val="auto"/>
        </w:rPr>
      </w:pPr>
    </w:p>
    <w:p>
      <w:pPr>
        <w:ind w:right="160" w:firstLine="1428"/>
        <w:spacing w:after="0" w:line="266" w:lineRule="auto"/>
        <w:tabs>
          <w:tab w:leader="none" w:pos="16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claim by an Indemnified Party under this Agreement (i) shall be reduced to reflect any actual cash Tax savings or insurance proceeds received by any Indemnified Party that result from the Losses that gave rise to such indemnity and (ii) shall be increased by an amount equal to any cash Tax cost incurred by any Indemnified Party that results from receipt of payments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1428"/>
        <w:spacing w:after="0" w:line="282" w:lineRule="auto"/>
        <w:tabs>
          <w:tab w:leader="none" w:pos="16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provided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 each Party is responsible for its own Taxes as imposed under applicable Law, and no indemnification shall be provided under this Agreement by either Party with respect to Taxes.</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liable for any Company Indemnified Taxes and SpinCo shall be liable for any SpinCo Indemnified Taxes.</w:t>
      </w:r>
    </w:p>
    <w:p>
      <w:pPr>
        <w:spacing w:after="0" w:line="225" w:lineRule="exact"/>
        <w:rPr>
          <w:rFonts w:ascii="Times New Roman" w:cs="Times New Roman" w:eastAsia="Times New Roman" w:hAnsi="Times New Roman"/>
          <w:sz w:val="18"/>
          <w:szCs w:val="18"/>
          <w:color w:val="auto"/>
        </w:rPr>
      </w:pPr>
    </w:p>
    <w:p>
      <w:pPr>
        <w:ind w:right="60" w:firstLine="1428"/>
        <w:spacing w:after="0" w:line="256" w:lineRule="auto"/>
        <w:tabs>
          <w:tab w:leader="none" w:pos="16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SpinCo each hereby agree, any transfer, excise, sales, use, value added, stamp, documentary, filing, recordation taxes and other similar Taxes, fees and charges (including real property transfer taxes) incurred in connection with this Agreement and the transactions contemplated hereby, together with any interest, penalties or additions with respect thereto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solely by the Company. The Parties agree to cooperate to minimize or eliminate any Transfer Taxes. The Party legally required to do so shall file all necessary Tax Returns and other documentation with respect to any Transfer Taxes and pay any such Transfer Taxes to the applicable Governmental Authority, and the other Parties shall cooperate in connection with the filing of such Tax Returns.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70" w:name="page71"/>
    <w:bookmarkEnd w:id="70"/>
    <w:p>
      <w:pPr>
        <w:ind w:left="1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w:t>
      </w:r>
    </w:p>
    <w:p>
      <w:pPr>
        <w:spacing w:after="0" w:line="225" w:lineRule="exact"/>
        <w:rPr>
          <w:sz w:val="20"/>
          <w:szCs w:val="20"/>
          <w:color w:val="auto"/>
        </w:rPr>
      </w:pPr>
    </w:p>
    <w:p>
      <w:pPr>
        <w:ind w:left="4" w:right="120" w:firstLine="1983"/>
        <w:spacing w:after="0" w:line="269" w:lineRule="auto"/>
        <w:rPr>
          <w:sz w:val="20"/>
          <w:szCs w:val="20"/>
          <w:color w:val="auto"/>
        </w:rPr>
      </w:pPr>
      <w:r>
        <w:rPr>
          <w:rFonts w:ascii="Times New Roman" w:cs="Times New Roman" w:eastAsia="Times New Roman" w:hAnsi="Times New Roman"/>
          <w:sz w:val="17"/>
          <w:szCs w:val="17"/>
          <w:color w:val="auto"/>
        </w:rPr>
        <w:t>(i) The Company shall prepare (or cause to be prepared) and file (or cause to be filed) all Tax Returns for the Pre-Distribution Tax Period except for SpinCo Prepared Returns (such Tax Returns, “</w:t>
      </w:r>
      <w:r>
        <w:rPr>
          <w:rFonts w:ascii="Times New Roman" w:cs="Times New Roman" w:eastAsia="Times New Roman" w:hAnsi="Times New Roman"/>
          <w:sz w:val="17"/>
          <w:szCs w:val="17"/>
          <w:u w:val="single" w:color="auto"/>
          <w:color w:val="auto"/>
        </w:rPr>
        <w:t>Company Prepared Returns</w:t>
      </w:r>
      <w:r>
        <w:rPr>
          <w:rFonts w:ascii="Times New Roman" w:cs="Times New Roman" w:eastAsia="Times New Roman" w:hAnsi="Times New Roman"/>
          <w:sz w:val="17"/>
          <w:szCs w:val="17"/>
          <w:color w:val="auto"/>
        </w:rPr>
        <w:t xml:space="preserve">”). Unless otherwise required by Law, such Company Prepared Returns shall be prepared in a manner consistent with prior Tax Returns and the Intended Tax Treatment. To the extent any Company Prepared Return is reasonably expected to result in SpinCo becoming responsible for a payment of Taxes pursuant to </w:t>
      </w:r>
      <w:r>
        <w:rPr>
          <w:rFonts w:ascii="Times New Roman" w:cs="Times New Roman" w:eastAsia="Times New Roman" w:hAnsi="Times New Roman"/>
          <w:sz w:val="17"/>
          <w:szCs w:val="17"/>
          <w:u w:val="single" w:color="auto"/>
          <w:color w:val="auto"/>
        </w:rPr>
        <w:t>Section 5.6(b)</w:t>
      </w:r>
      <w:r>
        <w:rPr>
          <w:rFonts w:ascii="Times New Roman" w:cs="Times New Roman" w:eastAsia="Times New Roman" w:hAnsi="Times New Roman"/>
          <w:sz w:val="17"/>
          <w:szCs w:val="17"/>
          <w:color w:val="auto"/>
        </w:rPr>
        <w:t>, the Company shall submit each such Company Prepared Return to SpinCo at least thirty (30) days (or, in the case of any such Tax Return due within thirty</w:t>
      </w:r>
    </w:p>
    <w:p>
      <w:pPr>
        <w:spacing w:after="0" w:line="3" w:lineRule="exact"/>
        <w:rPr>
          <w:sz w:val="20"/>
          <w:szCs w:val="20"/>
          <w:color w:val="auto"/>
        </w:rPr>
      </w:pPr>
    </w:p>
    <w:p>
      <w:pPr>
        <w:ind w:left="344" w:hanging="344"/>
        <w:spacing w:after="0"/>
        <w:tabs>
          <w:tab w:leader="none" w:pos="3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Distribution Date, as soon as reasonably practicable) prior to the due date (taking into account any extensions of the time to file) for</w:t>
      </w:r>
    </w:p>
    <w:p>
      <w:pPr>
        <w:spacing w:after="0" w:line="9"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SpinCo’s review, and the Company shall consider in good faith any comments proposed by SpinCo. The Parties shall file all their Tax Returns consistent with the Intended Tax Treatment and shall not take any position to the contrary unless required by the applicable Governmental Authority.</w:t>
      </w:r>
    </w:p>
    <w:p>
      <w:pPr>
        <w:spacing w:after="0" w:line="181" w:lineRule="exact"/>
        <w:rPr>
          <w:rFonts w:ascii="Times New Roman" w:cs="Times New Roman" w:eastAsia="Times New Roman" w:hAnsi="Times New Roman"/>
          <w:sz w:val="18"/>
          <w:szCs w:val="18"/>
          <w:color w:val="auto"/>
        </w:rPr>
      </w:pPr>
    </w:p>
    <w:p>
      <w:pPr>
        <w:ind w:left="4" w:right="80" w:firstLine="1979"/>
        <w:spacing w:after="0" w:line="254" w:lineRule="auto"/>
        <w:tabs>
          <w:tab w:leader="none" w:pos="2252"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prepare (or cause to be prepared) and file (or cause to be filed) all Tax Returns for the Pre-Distribution Tax Period that relate solely to SpinCo Indemnified Taxes (such Tax Returns, “</w:t>
      </w:r>
      <w:r>
        <w:rPr>
          <w:rFonts w:ascii="Times New Roman" w:cs="Times New Roman" w:eastAsia="Times New Roman" w:hAnsi="Times New Roman"/>
          <w:sz w:val="18"/>
          <w:szCs w:val="18"/>
          <w:u w:val="single" w:color="auto"/>
          <w:color w:val="auto"/>
        </w:rPr>
        <w:t>SpinCo Prepared Returns</w:t>
      </w:r>
      <w:r>
        <w:rPr>
          <w:rFonts w:ascii="Times New Roman" w:cs="Times New Roman" w:eastAsia="Times New Roman" w:hAnsi="Times New Roman"/>
          <w:sz w:val="18"/>
          <w:szCs w:val="18"/>
          <w:color w:val="auto"/>
        </w:rPr>
        <w:t xml:space="preserve">”). Unless otherwise required by Law, such SpinCo Prepared Returns shall be prepared in a manner consistent with prior Tax Returns and the Intended Tax Treatment. To the extent any SpinCo Prepared Return is reasonably expected to result in the Company becoming responsible for a payment of Taxes pursuant to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SpinCo shall submit each such SpinCo Prepared Return to the Company at least thirty (30) days (or, in the case of any such Tax Return due within thirty (30) days of the Distribution Date, as soon as reasonably practicable) prior to the due date (taking into account any extensions of the time to file) for the Company’s review, and SpinCo shall consider in good faith any comments proposed by the Company. The Parties shall file all their Tax Returns consistent with the Intended Tax Treatment and shall not take any position to the contrary unless required by the applicable Governmental Authority.</w:t>
      </w:r>
    </w:p>
    <w:p>
      <w:pPr>
        <w:spacing w:after="0" w:line="191" w:lineRule="exact"/>
        <w:rPr>
          <w:rFonts w:ascii="Times New Roman" w:cs="Times New Roman" w:eastAsia="Times New Roman" w:hAnsi="Times New Roman"/>
          <w:sz w:val="18"/>
          <w:szCs w:val="18"/>
          <w:color w:val="auto"/>
        </w:rPr>
      </w:pPr>
    </w:p>
    <w:p>
      <w:pPr>
        <w:ind w:left="4" w:right="160" w:firstLine="1979"/>
        <w:spacing w:after="0" w:line="261" w:lineRule="auto"/>
        <w:tabs>
          <w:tab w:leader="none" w:pos="2302"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(together with such Parties’ respective Affiliates) shall not take any position on any Tax Return or in connection with any Tax Claim with respect to any Tax Return that is inconsistent with the Intended Tax Treatment of the Distribution unless and until there has been a final determination within the meaning of Section 1313 of the Code (or any similar state, local or non-U.S. law) (“</w:t>
      </w:r>
      <w:r>
        <w:rPr>
          <w:rFonts w:ascii="Times New Roman" w:cs="Times New Roman" w:eastAsia="Times New Roman" w:hAnsi="Times New Roman"/>
          <w:sz w:val="18"/>
          <w:szCs w:val="18"/>
          <w:u w:val="single" w:color="auto"/>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or otherwise required by applicable Law.</w:t>
      </w:r>
    </w:p>
    <w:p>
      <w:pPr>
        <w:spacing w:after="0" w:line="179" w:lineRule="exact"/>
        <w:rPr>
          <w:rFonts w:ascii="Times New Roman" w:cs="Times New Roman" w:eastAsia="Times New Roman" w:hAnsi="Times New Roman"/>
          <w:sz w:val="18"/>
          <w:szCs w:val="18"/>
          <w:color w:val="auto"/>
        </w:rPr>
      </w:pPr>
    </w:p>
    <w:p>
      <w:pPr>
        <w:ind w:left="4" w:firstLine="1428"/>
        <w:spacing w:after="0" w:line="255" w:lineRule="auto"/>
        <w:tabs>
          <w:tab w:leader="none" w:pos="168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Party or its Subsidiary that is entitled to file an amended Tax Return for a Pre-Distribution Tax Period shall be permitted to prepare and file an amended Tax Return at its own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such amended Tax Return shall be prepared in a manner consistent with the past practice of the Parties and their Affiliates and shall not take any position that is inconsistent with the Intended Tax Treatment of the Distribution unless otherwise modified by a Final Determination or otherwise required by a change in applicable Law; and (ii) if such amended Tax Return is reasonably expected to result in the other Party becoming responsible for a payment of Taxes shown thereon or pursuant to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such amended Tax Return shall be permitted only if the prior written consent of such other Party is obtained, such consent not to be unreasonably withheld, conditioned or delayed.</w:t>
      </w:r>
    </w:p>
    <w:p>
      <w:pPr>
        <w:spacing w:after="0" w:line="188" w:lineRule="exact"/>
        <w:rPr>
          <w:rFonts w:ascii="Times New Roman" w:cs="Times New Roman" w:eastAsia="Times New Roman" w:hAnsi="Times New Roman"/>
          <w:sz w:val="18"/>
          <w:szCs w:val="18"/>
          <w:color w:val="auto"/>
        </w:rPr>
      </w:pPr>
    </w:p>
    <w:p>
      <w:pPr>
        <w:jc w:val="both"/>
        <w:ind w:left="4" w:right="240" w:firstLine="1428"/>
        <w:spacing w:after="0" w:line="266" w:lineRule="auto"/>
        <w:tabs>
          <w:tab w:leader="none" w:pos="166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be entitled to refunds (including any similar credit or offset of Taxes) that relate to Taxes for which it is liable hereunder in accordance with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or for which the Party is otherwise responsible, net of any reduction for reasonable costs and additional Taxes in connection thereto.</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70" w:right="459" w:bottom="1440" w:gutter="0" w:footer="0" w:header="0"/>
        </w:sectPr>
      </w:pPr>
    </w:p>
    <w:bookmarkStart w:id="71" w:name="page72"/>
    <w:bookmarkEnd w:id="71"/>
    <w:p>
      <w:pPr>
        <w:ind w:right="20" w:firstLine="1428"/>
        <w:spacing w:after="0" w:line="255" w:lineRule="auto"/>
        <w:tabs>
          <w:tab w:leader="none" w:pos="168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file a U.S. federal income Tax return, including any similar state or local income Tax returns (“</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Return</w:t>
      </w:r>
      <w:r>
        <w:rPr>
          <w:rFonts w:ascii="Times New Roman" w:cs="Times New Roman" w:eastAsia="Times New Roman" w:hAnsi="Times New Roman"/>
          <w:sz w:val="18"/>
          <w:szCs w:val="18"/>
          <w:color w:val="auto"/>
        </w:rPr>
        <w:t>”) as may be filed under applicable state or local Law, for the taxable period ending on the date of the Closing. SpinCo will consent to join in the filing of any Consolidated Return filed by the Company and shall designate the Company as its agent for the purpose of taking any and all action necessary or incidental to such filing, including providing the Company with any and all reasonable information and consents as may be required and taking any and all other action as the Company may reasonably request that is necessary for the filing of such Consolidated Return. The Parties shall not take any action or position on any Tax Return or in connection with any Tax Claim that is inconsistent with this position unless and until there has been a Final Determination or otherwise required by applicable Law to the contrary.</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428"/>
        <w:spacing w:after="0" w:line="256" w:lineRule="auto"/>
        <w:tabs>
          <w:tab w:leader="none" w:pos="167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notify each other within twenty (20) business days after receipt by it or any of its Affiliates of written notice of any pending U.S. federal, state, local or foreign Tax audit or examination or notice of deficiency or other adjustment, assessment or redetermination relating to any Company Indemnified Taxes or SpinCo Indemnified Taxes for which the other Party could be responsible hereunder (a “</w:t>
      </w:r>
      <w:r>
        <w:rPr>
          <w:rFonts w:ascii="Times New Roman" w:cs="Times New Roman" w:eastAsia="Times New Roman" w:hAnsi="Times New Roman"/>
          <w:sz w:val="18"/>
          <w:szCs w:val="18"/>
          <w:u w:val="single" w:color="auto"/>
          <w:color w:val="auto"/>
        </w:rPr>
        <w:t>Tax 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failure to give such notice shall not relieve the Parties of any of its obligations under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except to the extent that the other Party is actually and materially prejudiced by such failure. Such notice shall specify in reasonable detail the basis for such Tax Claim and shall include a copy of the relevant portion of any correspondence received from any Governmental Authority.</w:t>
      </w:r>
    </w:p>
    <w:p>
      <w:pPr>
        <w:spacing w:after="0" w:line="18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the right to control, at its own expense, any Tax Claim that relates to a Company Prepared Return (a</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Controlled 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Company Controlled Claim that could reasonably be expected to result in SpinCo becoming responsible for a payment pursuant to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the Company shall (i) keep SpinCo reasonably informed of material developments with respect to such Company Controlled Claim, (ii) consult with SpinCo before taking any significant or material action in connection with such Company Controlled Claim and (iii) to the extent such Company Controlled Claim is reasonably expected to give rise to Taxes of SpinCo, its Subsidiaries, or their Affiliates that are not Company Indemnified Taxes, not settle, compromise or abandon any such Company Controlled Claim without obtaining the prior written consent of SpinCo (such consent not to be unreasonably withheld, conditioned or delayed).</w:t>
      </w:r>
    </w:p>
    <w:p>
      <w:pPr>
        <w:spacing w:after="0" w:line="190" w:lineRule="exact"/>
        <w:rPr>
          <w:sz w:val="20"/>
          <w:szCs w:val="20"/>
          <w:color w:val="auto"/>
        </w:rPr>
      </w:pPr>
    </w:p>
    <w:p>
      <w:pPr>
        <w:ind w:firstLine="1428"/>
        <w:spacing w:after="0" w:line="255" w:lineRule="auto"/>
        <w:tabs>
          <w:tab w:leader="none" w:pos="16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will have the right to control, at its own expense, any Tax Claim that relates to a SpinCo Prepared Return (a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Controlled 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SpinCo Controlled Claim that could reasonably be expected to result in the Company becoming responsible for a payment pursuant to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SpinCo shall (i) keep the Company reasonably informed of material developments with respect to such SpinCo Controlled Claim, (ii) consult with the Company before taking any significant or material action in connection with such SpinCo Controlled Claim and (iii) to the extent such SpinCo Controlled Claim is reasonably expected to give rise to Taxes of the Company, its Subsidiaries, or their Affiliates that are not SpinCo Indemnified Taxes, not settle, compromise or abandon any such SpinCo Controlled Claim without obtaining the prior written consent of the Company (such consent not to be unreasonably withheld, conditioned or delayed).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70" w:right="479" w:bottom="1440" w:gutter="0" w:footer="0" w:header="0"/>
        </w:sectPr>
      </w:pPr>
    </w:p>
    <w:bookmarkStart w:id="72" w:name="page73"/>
    <w:bookmarkEnd w:id="72"/>
    <w:p>
      <w:pPr>
        <w:ind w:left="4" w:right="60" w:firstLine="1428"/>
        <w:spacing w:after="0" w:line="284" w:lineRule="auto"/>
        <w:tabs>
          <w:tab w:leader="none" w:pos="169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provisions of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exclusively control with respect to any Tax Claim.</w:t>
      </w:r>
    </w:p>
    <w:p>
      <w:pPr>
        <w:spacing w:after="0" w:line="160" w:lineRule="exact"/>
        <w:rPr>
          <w:rFonts w:ascii="Times New Roman" w:cs="Times New Roman" w:eastAsia="Times New Roman" w:hAnsi="Times New Roman"/>
          <w:sz w:val="18"/>
          <w:szCs w:val="18"/>
          <w:color w:val="auto"/>
        </w:rPr>
      </w:pPr>
    </w:p>
    <w:p>
      <w:pPr>
        <w:ind w:left="4" w:right="40" w:firstLine="1428"/>
        <w:spacing w:after="0" w:line="256" w:lineRule="auto"/>
        <w:tabs>
          <w:tab w:leader="none" w:pos="168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provisions of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and foregoing provisions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any and all Tax sharing, Tax allocation, Tax indemnity or similar agreements, arrangements, or practices (including any advance pricing agreement, closing agreement or other similar written agreement relating to Taxes with any Governmental Authority, but excluding (i) customary commercial Contracts the primary purpose of which is unrelated to Taxes and (ii) any agreements or arrangements solely between members of the SpinCo Group) to which SpinCo is a party or otherwise subject shall be terminated as of the Distribution Date and after the Distribution Date neither of SpinCo nor any of its Affiliates shall be bound thereby, have any Liability thereunder, or be obligated to make any payment thereunder.</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Section 336(e) Election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 At its election, the Company shall make (or cause any of its Affiliates to make) a timely and irrevocable election under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336(e) of the Code (and any similar provision of applicable state or local income Tax Law) pursuant to Treasury Regulations Section 1.336-2(h)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respect to the Distribution pursuant hereto in accordance with Section 336(e) of the Code and the applicable Treasury Regulations thereunder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336(e) Election</w:t>
      </w:r>
      <w:r>
        <w:rPr>
          <w:rFonts w:ascii="Times New Roman" w:cs="Times New Roman" w:eastAsia="Times New Roman" w:hAnsi="Times New Roman"/>
          <w:sz w:val="18"/>
          <w:szCs w:val="18"/>
          <w:color w:val="auto"/>
        </w:rPr>
        <w:t>”), including, for the avoidance of doubt, by duly executing and filing (i) a properly completed “Section 336(e) election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statement” as described in Treasury Regulations Section 1.336-2(h)(5), which election statement shall contain the contents provided in Treasury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Regulations Section 1.336-2(h)(6) (the “</w:t>
      </w:r>
      <w:r>
        <w:rPr>
          <w:rFonts w:ascii="Times New Roman" w:cs="Times New Roman" w:eastAsia="Times New Roman" w:hAnsi="Times New Roman"/>
          <w:sz w:val="18"/>
          <w:szCs w:val="18"/>
          <w:u w:val="single" w:color="auto"/>
          <w:color w:val="auto"/>
        </w:rPr>
        <w:t>Section 336(e) Election Statement</w:t>
      </w:r>
      <w:r>
        <w:rPr>
          <w:rFonts w:ascii="Times New Roman" w:cs="Times New Roman" w:eastAsia="Times New Roman" w:hAnsi="Times New Roman"/>
          <w:sz w:val="18"/>
          <w:szCs w:val="18"/>
          <w:color w:val="auto"/>
        </w:rPr>
        <w:t>”) and (ii) a written, binding agreement, in accordance with Treasury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Regulations Section 1.336-2(h), by and among the Company and SpinCo (as applicable) reflecting a binding obligation to make the Section 336(e)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Election (such agreement, a “</w:t>
      </w:r>
      <w:r>
        <w:rPr>
          <w:rFonts w:ascii="Times New Roman" w:cs="Times New Roman" w:eastAsia="Times New Roman" w:hAnsi="Times New Roman"/>
          <w:sz w:val="18"/>
          <w:szCs w:val="18"/>
          <w:u w:val="single" w:color="auto"/>
          <w:color w:val="auto"/>
        </w:rPr>
        <w:t>Section 336(e) Written Binding Agreement</w:t>
      </w:r>
      <w:r>
        <w:rPr>
          <w:rFonts w:ascii="Times New Roman" w:cs="Times New Roman" w:eastAsia="Times New Roman" w:hAnsi="Times New Roman"/>
          <w:sz w:val="18"/>
          <w:szCs w:val="18"/>
          <w:color w:val="auto"/>
        </w:rPr>
        <w:t>”). The Company and SpinCo hereby agree to be bound by the Section 336(e)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Election and shall (and shall cause their respective Affiliates to): (a) take all necessary actions to effectuate the Section 336(e) Election, (b) act 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accordance with the Section 336(e) Election for all applicable Tax purposes (including in the preparation and filing of any Tax Returns), (c) not take,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cause to be taken, any action or position inconsistent with the Section 336(e) Election unless required to do so pursuant to a Final Determination, and</w:t>
      </w:r>
    </w:p>
    <w:p>
      <w:pPr>
        <w:spacing w:after="0" w:line="9" w:lineRule="exact"/>
        <w:rPr>
          <w:sz w:val="20"/>
          <w:szCs w:val="20"/>
          <w:color w:val="auto"/>
        </w:rPr>
      </w:pPr>
    </w:p>
    <w:p>
      <w:pPr>
        <w:ind w:left="4" w:right="440" w:hanging="4"/>
        <w:spacing w:after="0" w:line="260" w:lineRule="auto"/>
        <w:tabs>
          <w:tab w:leader="none" w:pos="25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and timely file all income Tax Returns and any other forms, attachments and schedules necessary to effectuate the Section 336(e) Election (including IRS Form 8883 and any similar forms under applicable state and local income Tax laws).</w:t>
      </w:r>
    </w:p>
    <w:p>
      <w:pPr>
        <w:spacing w:after="0" w:line="181" w:lineRule="exact"/>
        <w:rPr>
          <w:rFonts w:ascii="Times New Roman" w:cs="Times New Roman" w:eastAsia="Times New Roman" w:hAnsi="Times New Roman"/>
          <w:sz w:val="18"/>
          <w:szCs w:val="18"/>
          <w:color w:val="auto"/>
        </w:rPr>
      </w:pPr>
    </w:p>
    <w:p>
      <w:pPr>
        <w:ind w:left="4" w:firstLine="1428"/>
        <w:spacing w:after="0" w:line="273" w:lineRule="auto"/>
        <w:tabs>
          <w:tab w:leader="none" w:pos="169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thirty (30) days after the Distribution Date, SpinCo shall provide to the Company a schedule which will provide for the determination of the “aggregate deemed asset disposition price” and the “adjusted grossed-up basis” (each as defined under applicable Treasury Regulations) and the allocation of such “aggregate deemed asset disposition price” and “adjusted grossed-up basis” among the Distribution Date assets of the applicable member or members of the applicable Group, each in accordance with Section 336 of the Code and applicable Treasury Regulations thereunder or any comparable provisions of state or local law (the “</w:t>
      </w:r>
      <w:r>
        <w:rPr>
          <w:rFonts w:ascii="Times New Roman" w:cs="Times New Roman" w:eastAsia="Times New Roman" w:hAnsi="Times New Roman"/>
          <w:sz w:val="17"/>
          <w:szCs w:val="17"/>
          <w:u w:val="single" w:color="auto"/>
          <w:color w:val="auto"/>
        </w:rPr>
        <w:t>Section 336(e) Allocation Statement</w:t>
      </w:r>
      <w:r>
        <w:rPr>
          <w:rFonts w:ascii="Times New Roman" w:cs="Times New Roman" w:eastAsia="Times New Roman" w:hAnsi="Times New Roman"/>
          <w:sz w:val="17"/>
          <w:szCs w:val="17"/>
          <w:color w:val="auto"/>
        </w:rPr>
        <w:t>”). If within thirty (30) days after the Company’s receipt of the Section 336(e) Allocation Statement, the Company agrees in writing to such Section 336(e) Allocation Statement, then the Section 336(e) Allocation Statement shall be final and binding on the parties hereto, and the Company, SpinCo and their respective Affiliates shall file all Tax</w:t>
      </w:r>
    </w:p>
    <w:p>
      <w:pPr>
        <w:spacing w:after="0" w:line="1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4"/>
          </w:cols>
          <w:pgMar w:left="436" w:top="268" w:right="459" w:bottom="1440" w:gutter="0" w:footer="0" w:header="0"/>
        </w:sectPr>
      </w:pPr>
    </w:p>
    <w:bookmarkStart w:id="73" w:name="page74"/>
    <w:bookmarkEnd w:id="7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Returns in a manner consistent with such agreed Section 336(e) Allocation Statement. In the event the Company objects in writing to the Section 336(e) Allocation Statement within such thirty (30) day period (“</w:t>
      </w:r>
      <w:r>
        <w:rPr>
          <w:rFonts w:ascii="Times New Roman" w:cs="Times New Roman" w:eastAsia="Times New Roman" w:hAnsi="Times New Roman"/>
          <w:sz w:val="18"/>
          <w:szCs w:val="18"/>
          <w:u w:val="single" w:color="auto"/>
          <w:color w:val="auto"/>
        </w:rPr>
        <w:t>Objection Notice</w:t>
      </w:r>
      <w:r>
        <w:rPr>
          <w:rFonts w:ascii="Times New Roman" w:cs="Times New Roman" w:eastAsia="Times New Roman" w:hAnsi="Times New Roman"/>
          <w:sz w:val="18"/>
          <w:szCs w:val="18"/>
          <w:color w:val="auto"/>
        </w:rPr>
        <w:t>”), SpinCo and the Company shall negotiate in good faith to resolve the dispute. If, after a period of thirty (30) days following the Company’s submission of an Objection Notice to SpinCo, any proposed changes set forth in the Objection Notice remain disputed, all such disputes shall be submitted as promptly as practical to an internationally recognized independent accounting firm reasonably acceptable to SpinCo and the Company (the “</w:t>
      </w:r>
      <w:r>
        <w:rPr>
          <w:rFonts w:ascii="Times New Roman" w:cs="Times New Roman" w:eastAsia="Times New Roman" w:hAnsi="Times New Roman"/>
          <w:sz w:val="18"/>
          <w:szCs w:val="18"/>
          <w:u w:val="single" w:color="auto"/>
          <w:color w:val="auto"/>
        </w:rPr>
        <w:t>Accounting Expert</w:t>
      </w:r>
      <w:r>
        <w:rPr>
          <w:rFonts w:ascii="Times New Roman" w:cs="Times New Roman" w:eastAsia="Times New Roman" w:hAnsi="Times New Roman"/>
          <w:sz w:val="18"/>
          <w:szCs w:val="18"/>
          <w:color w:val="auto"/>
        </w:rPr>
        <w:t xml:space="preserve">”) for resolution, together with such supporting documentation and information as the Parties deem appropriate (it being agreed that the Parties will make their respective submissions contemporaneously on a date and in a manner directed by the Accounting Expert, and with a copy sent simultaneously and in the same manner to the other Party). The Accounting Expert shall act solely as an accounting expert and not as an arbitrator. The Accounting Expert (i) shall be bound by the provisions set forth in this Agreement, including the allocation principles set forth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(ii) may not assign a value to any item greater than the greatest value claimed for such item or less than the smallest value for such item claimed by either SpinCo or the Company, and (iii) shall consider only those items and amounts set forth in the Objection Notice and the Section 336(e) Allocation Statement, including each of the components thereof, that are identified as being items and amounts to which SpinCo and the Company have been unable to agree. The fees, costs and expenses of the Accounting Expert will be allocated to and borne in inverse proportion to the relative extent to which SpinCo, on the one hand, and the Company, on the other hand, prevail on the disagreements resolved by the Accounting Expert. The Accounting Expert shall finally and conclusively resolve any dispute relating to matters set forth in this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 xml:space="preserve"> within thirty (30) days following receipt of the submission. Such determination of the Accounting Expert shall, absent fraud or manifest error, be final, conclusive and binding upon, and non-appealable by, the parties hereto. Notwithstanding anything herein to the contrary, the failure of the Accounting Expert to strictly conform to any deadline or time period contained herein shall not render the determination of the Accounting Expert invalid and shall not be a basis for seeking to overturn any determination rendered by the Accounting Expert. Promptly upon receiving the final and binding Section 336(e) Allocation Statement, SpinCo and the Company shall return an executed copy thereof to the other Party. SpinCo, the Company and their respective Affiliates will not take any position, whether in audits, Tax Returns, or otherwise, that is inconsistent with any such final and binding Section 336(e) Allocation Statement unless required to by a Final Determination or otherwise required by applicable Law.</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ACCESS TO INFORMATION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Provision of Corporate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4" w:lineRule="auto"/>
        <w:tabs>
          <w:tab w:leader="none" w:pos="167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specifically provided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which event the provisions of such Article will govern), after the Distribution Date, upon the prior written request by a member of the SpinCo Group for specific and identified agreements, documents, books, records or files (whether written or electronic) including accounting and financial records (collectively,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which primarily relate to SpinCo or the conduct of the SpinCo Business, or which SpinCo determines are necessary or advisable in order for SpinCo to prepare its financial statements and any reports or filings to be made with any Governmental Authority, the Company shall arrange, as soon as reasonably practicable following the receipt of such request, to provide appropriate copies of such Records (or the originals thereof if SpinCo has a reasonable purpose for such originals) in the possession or control of any member of the RemainCo Group, but only to the extent such items are not already in the possession or control of the requesting Party or their Affiliates.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74" w:name="page75"/>
    <w:bookmarkEnd w:id="74"/>
    <w:p>
      <w:pPr>
        <w:ind w:firstLine="1428"/>
        <w:spacing w:after="0" w:line="255" w:lineRule="auto"/>
        <w:tabs>
          <w:tab w:leader="none" w:pos="168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specifically provided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which event the provisions of such Article will govern), after the Distribution Date, upon the prior written request by a member of the RemainCo Group for specific and identified Records which relate to the Company or the conduct of the Royalty Business, or which the Company determines are necessary or advisable in order for the Company to prepare its financial statements and any reports or filings to be made with any Governmental Authority, SpinCo shall arrange, as soon as reasonably practicable following the receipt of such request, to provide appropriate copies of such Records (or the originals thereof if the Company has a reasonable purpose for such originals) in the possession or control of any member of the SpinCo Group, but only to the extent such items are not already in the possession or control of the requesting Party or their Affiliates.</w:t>
      </w:r>
    </w:p>
    <w:p>
      <w:pPr>
        <w:spacing w:after="0" w:line="189"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Except as specifically provided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which event the provisions of such Article govern), and subject to applicable Law, for a period of five (5) years following the Distribution Date, upon reasonable prior notice, each of the Company and SpinCo shall (and shall cause its Subsidiaries to) afford the other applicable Party’s officers and other authorized Representatives reasonable access, during normal business hours, to its employees and properties that relate to such other Party’s Business and, during such period, each Party shall (and shall cause its Subsidiaries to) furnish promptly to the other Party all information concerning such other Party’s Business, as applicable, and such other Party’s properties and personnel related thereto as may be reasonably requested</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 that the foregoing shall not require any Party or such Party’s Subsidiaries to (i) permit any inspection, or to disclose any information, that in the reasonable judgment of such Party would (A) be detrimental to such Party’s or any of its Subsidiaries’ Business or operations, (B) result in the disclosure of any Trade Secrets or Know-How of Third Parties or violate any of its obligations with respect to confidentiality, (C) be reasonably likely to result in a violation of any Law, fiduciary duty or binding agreement entered into prior to the date of this Agreement or (D) if SpinCo or any of its Affiliates after giving effect to the Distribution, on the one hand, and the Company or any of its Affiliates after giving effect to the Distribution, on the other hand, are adverse parties in a litigation or other Proceeding to disclose or permit access to any information that is reasonably pertinent to such litigation or other Proceeding, (ii) disclose any Privileged Information of any Party or any of its Subsidiaries or (iii) submit to any invasive environmental testing or sampling.</w:t>
      </w:r>
    </w:p>
    <w:p>
      <w:pPr>
        <w:spacing w:after="0" w:line="187"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Tax Information and Cooperation</w:t>
      </w:r>
      <w:r>
        <w:rPr>
          <w:rFonts w:ascii="Times New Roman" w:cs="Times New Roman" w:eastAsia="Times New Roman" w:hAnsi="Times New Roman"/>
          <w:sz w:val="18"/>
          <w:szCs w:val="18"/>
          <w:color w:val="auto"/>
        </w:rPr>
        <w:t>. The Company and SpinCo shall reasonably cooperate and shall cause their respective Affiliates and Representatives to reasonably cooperate, in respect of the Pre-Closing Reorganization, the Distribution and in preparing and filing all Tax Returns relating to any Pre-Distribution Tax Period, including maintaining and making available to each other, and to any Governmental Authority as reasonably requested, their respective employees and all records reasonably necessary in connection with Taxes of SpinCo or the SpinCo Business and in resolving all disputes and audits relating to Taxes allocable to a Pre-Distribution Tax Period. The Company and SpinCo agree to use commercially reasonable efforts (i) to retain all books and records (or, in the alternative, to deliver such books and records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75" w:name="page76"/>
    <w:bookmarkEnd w:id="7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SpinCo) with respect to Tax matters pertinent to SpinCo or the SpinCo Business relating to any Tax period beginning before the Distribution Date until ninety (90) days after the expiration of the applicable statute of limitations and to abide by all record retention agreements entered into with any Governmental Authority and (ii) to allow the other Party and its Representatives, at times and dates mutually acceptable to the Parties, to inspect, review and make copies of such records as may be reasonably necessary or appropriate from time to time, such activities to be conducted during normal business hours and at such Party’s expense. The Party requesting such cooperation will bear the reasonable out-of-pocket costs of the other Party. In no event shall any Party be entitled to receive information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that does not relate solely to SpinCo or the SpinCo Business except that, in the case of Tax information relating in part to SpinCo or the SpinCo Business, a Party otherwise required to provide Tax information under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use commercially reasonable efforts to provide such Tax information as relates solely to SpinCo or the SpinCo Business (which may include, to the extent commercially reasonable, redacted versions of such information that show solely the portions of the relevant materials that relate solely to SpinCo or the SpinCo Business). For the avoidance of doubt,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subject to the last sentence of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Witnesses; Documents and Cooperation in Proceedings</w:t>
      </w:r>
      <w:r>
        <w:rPr>
          <w:rFonts w:ascii="Times New Roman" w:cs="Times New Roman" w:eastAsia="Times New Roman" w:hAnsi="Times New Roman"/>
          <w:sz w:val="18"/>
          <w:szCs w:val="18"/>
          <w:color w:val="auto"/>
        </w:rPr>
        <w:t>. At all times from and after the Distribution Date, each of the Company and SpinCo shall use its commercially reasonable efforts to make available to the other, upon reasonable written request, its and its Subsidiaries’ former and then-current Representatives as witnesses and any Records within its control or which it otherwise has the ability to make available without undue burden, to the extent that such Persons or Records may reasonably be required in connection with the prosecution or defense of any Proceeding in which the requesting Party may from time to time be involved. The requesting Party shall bear all reasonable out-of-pocket costs and expenses incurred in connection therewith. This provision shall not apply to any Proceeding brought by one Party against another Party (as to which production of documents and witnesses shall be governed by applicable discovery rules).</w:t>
      </w:r>
    </w:p>
    <w:p>
      <w:pPr>
        <w:spacing w:after="0" w:line="189" w:lineRule="exact"/>
        <w:rPr>
          <w:sz w:val="20"/>
          <w:szCs w:val="20"/>
          <w:color w:val="auto"/>
        </w:rPr>
      </w:pPr>
    </w:p>
    <w:p>
      <w:pPr>
        <w:ind w:right="140" w:firstLine="1428"/>
        <w:spacing w:after="0" w:line="282" w:lineRule="auto"/>
        <w:tabs>
          <w:tab w:leader="none" w:pos="167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provision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the Parties shall cooperate and consult, and shall cause each member of their respective Groups to cooperate and consult, to the extent reasonably necessary with respect to any Proceedings.</w:t>
      </w:r>
    </w:p>
    <w:p>
      <w:pPr>
        <w:spacing w:after="0" w:line="161" w:lineRule="exact"/>
        <w:rPr>
          <w:rFonts w:ascii="Times New Roman" w:cs="Times New Roman" w:eastAsia="Times New Roman" w:hAnsi="Times New Roman"/>
          <w:sz w:val="18"/>
          <w:szCs w:val="18"/>
          <w:color w:val="auto"/>
        </w:rPr>
      </w:pPr>
    </w:p>
    <w:p>
      <w:pPr>
        <w:jc w:val="both"/>
        <w:ind w:right="220" w:firstLine="1428"/>
        <w:spacing w:after="0" w:line="312" w:lineRule="auto"/>
        <w:tabs>
          <w:tab w:leader="none" w:pos="168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matter contemplated by this </w:t>
      </w:r>
      <w:r>
        <w:rPr>
          <w:rFonts w:ascii="Times New Roman" w:cs="Times New Roman" w:eastAsia="Times New Roman" w:hAnsi="Times New Roman"/>
          <w:sz w:val="17"/>
          <w:szCs w:val="17"/>
          <w:u w:val="single" w:color="auto"/>
          <w:color w:val="auto"/>
        </w:rPr>
        <w:t>Section 6.4</w:t>
      </w:r>
      <w:r>
        <w:rPr>
          <w:rFonts w:ascii="Times New Roman" w:cs="Times New Roman" w:eastAsia="Times New Roman" w:hAnsi="Times New Roman"/>
          <w:sz w:val="17"/>
          <w:szCs w:val="17"/>
          <w:color w:val="auto"/>
        </w:rPr>
        <w:t>, the Parties will enter into a mutually acceptable joint defense agreement so as to maintain to the extent practicable any applicable attorney-client privilege or work product immunity of any member of any Group.</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28"/>
        <w:spacing w:after="0" w:line="258" w:lineRule="auto"/>
        <w:tabs>
          <w:tab w:leader="none" w:pos="167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termination of this Agreement, except that the nondisclosure obligations and restrictions on use with respect to any Confidential Information that constitutes a Trade Secret shall continue in effect for so long as the Confidential Information remains a Trade Secret under applicable Law, each Party shall, and shall cause each of the other members of its Group to, hold, and cause each of their respective officers, employees, agents, consultants and advisors to hold, in strict confidence, at a standard of care no less than that used for its own Confidential Information (and in any event no less than a reasonable standard of care),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76" w:name="page77"/>
    <w:bookmarkEnd w:id="76"/>
    <w:p>
      <w:pPr>
        <w:ind w:left="4" w:right="2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not to disclose or release or except as otherwise permitted by this Agreement, use, without the prior written consent of each Party to whom (or to whose Group) the Confidential Information relates (which may be withheld in each such Party’s sole and absolute discretion), any and all Confidential Information concerning or belonging to another Party or any member of its Group; provided that each Party may disclose, or may permit disclosure of, such Confidential Information (i) to its (or any member of its Group’s) respective auditors, attorneys, financial advisors, bankers and other appropriate employees, consultants and advisors who have a need to know such Confidential Information for auditing and other purposes and are informed of the confidentiality and non-use obligations to the same extent as is applicable to the Parties and in respect of whose failure to comply with such obligations, the applicable Party will be responsible, (ii) if any Party or any member of its Group is required or compelled to disclose any such Confidential Information by judicial or administrative process or by other requirements of Law or stock exchange rule, (iii) to the extent required in connection with any Proceeding by one Party (or a member of its Group) against any other Party (or member of such other Party’s Group) or in respect of claims by one Party (or member of its Group) against the other Party (or member of such other Party’s Group) brought in a Proceeding, (iv) to the extent necessary in order to permit a Party (or member of its Group) to prepare and disclose its financial statements in connection with any regulatory filings or Tax Returns, (v) to the extent necessary for a Party (or member of its Group) to enforce its rights or perform its obligations under this Agreement or the Transition Services Agreement, (vi) to any Governmental Authority in accordance with applicable procurement regulations and contract requirements or</w:t>
      </w:r>
    </w:p>
    <w:p>
      <w:pPr>
        <w:spacing w:after="0" w:line="10" w:lineRule="exact"/>
        <w:rPr>
          <w:sz w:val="20"/>
          <w:szCs w:val="20"/>
          <w:color w:val="auto"/>
        </w:rPr>
      </w:pPr>
    </w:p>
    <w:p>
      <w:pPr>
        <w:ind w:left="4" w:hanging="4"/>
        <w:spacing w:after="0" w:line="251" w:lineRule="auto"/>
        <w:tabs>
          <w:tab w:leader="none" w:pos="3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other Persons in connection with their evaluation of, and negotiating and consummating, a potential strategic transaction, to the extent reasonably necessary in connection therewith, provided an appropriate and customary confidentiality agreement has been entered into with the Person receiving such Confidential Information. Notwithstanding the foregoing, in the event that any demand or request for disclosure of Confidential Information is made by a Third Party that relates to clauses (ii), (iii), (vi) or (vii) above, each Party, as applicable, shall promptly notify (to the extent permissible by Law) the Party to whom (or to whose Group) the Confidential Information relates of the existence of such request, demand or disclosure requirement and shall provide such Party (and/or any applicable member of its Group) a reasonable opportunity to seek, at its expense, an appropriate protective order or other remedy, which such Parties shall, and shall cause the other members of their respective Group to, cooperate in obtaining to the extent reasonably practicable. In the event that such appropriate protective order or other remedy is not obtained, the Party who is (or whose Group’s member is) required to make such disclosure shall or shall cause the applicable member of its Group to furnish (at the expense of the Party seeking to limit such request, demand or disclosure requirement), or cause to be furnished, only that portion of the Confidential Information that is legally required to be disclosed and shall take commercially reasonable steps to ensure that confidential treatment is accorded to such Confidential Information (at the expense of the Party seeking (or whose Group’s member is seeking) to limit such request, demand or disclosure requirement).</w:t>
      </w:r>
    </w:p>
    <w:p>
      <w:pPr>
        <w:spacing w:after="0" w:line="192" w:lineRule="exact"/>
        <w:rPr>
          <w:rFonts w:ascii="Times New Roman" w:cs="Times New Roman" w:eastAsia="Times New Roman" w:hAnsi="Times New Roman"/>
          <w:sz w:val="18"/>
          <w:szCs w:val="18"/>
          <w:color w:val="auto"/>
        </w:rPr>
      </w:pPr>
    </w:p>
    <w:p>
      <w:pPr>
        <w:ind w:left="4" w:right="20" w:firstLine="1428"/>
        <w:spacing w:after="0" w:line="258" w:lineRule="auto"/>
        <w:tabs>
          <w:tab w:leader="none" w:pos="169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SpinCo and the Company acknowledges, on behalf of itself and each other member of its Group, that it and the other members of its Group may have in their possession confidential or proprietary information of Third Parties that was received under confidentiality or non-disclosure agreements or policies with each such Third Party while such Party and/or members of its Group were Subsidiaries of the Company prior to the Distribution Date. Each of SpinCo and the Company shall, and shall cause the other members of its Group to, hold and cause its and their respective Representatives (or potential buyers) to hold, in strict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77" w:name="page78"/>
    <w:bookmarkEnd w:id="77"/>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confidence the confidential and proprietary information of Third Parties to which they or any other member of their respective Groups has access, in accordance with the terms of any policies or agreements entered into prior to the Distribution Date between one or more members of the SpinCo Group and/or the RemainCo Group (whether acting through, on behalf of, or in connection with, the separated Businesses) and such Third Parties.</w:t>
      </w:r>
    </w:p>
    <w:p>
      <w:pPr>
        <w:spacing w:after="0" w:line="176" w:lineRule="exact"/>
        <w:rPr>
          <w:sz w:val="20"/>
          <w:szCs w:val="20"/>
          <w:color w:val="auto"/>
        </w:rPr>
      </w:pPr>
    </w:p>
    <w:p>
      <w:pPr>
        <w:ind w:right="100" w:firstLine="1428"/>
        <w:spacing w:after="0" w:line="282" w:lineRule="auto"/>
        <w:tabs>
          <w:tab w:leader="none" w:pos="16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Personal Information or Protected Health Information disclosed by a Party pursuant to this Agreement, each Party agrees to comply with all applicable Privacy Obligations.</w:t>
      </w:r>
    </w:p>
    <w:p>
      <w:pPr>
        <w:spacing w:after="0" w:line="161" w:lineRule="exact"/>
        <w:rPr>
          <w:rFonts w:ascii="Times New Roman" w:cs="Times New Roman" w:eastAsia="Times New Roman" w:hAnsi="Times New Roman"/>
          <w:sz w:val="18"/>
          <w:szCs w:val="18"/>
          <w:color w:val="auto"/>
        </w:rPr>
      </w:pPr>
    </w:p>
    <w:p>
      <w:pPr>
        <w:ind w:right="20" w:firstLine="1428"/>
        <w:spacing w:after="0" w:line="258" w:lineRule="auto"/>
        <w:tabs>
          <w:tab w:leader="none" w:pos="168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and notwithstanding any other provision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the disclosure and sharing of Privileged Information shall be governed solely by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For clarity, to the extent that any Contract or policy to which a Party is bound or its Confidential Information is subject provides that certain Confidential Information shall be maintained confidential on a basis that is more protective of such Confidential Information or for a longer period of time than provided for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then the applicable provisions contained in such Contract or policy shall control with respect thereto.</w:t>
      </w:r>
    </w:p>
    <w:p>
      <w:pPr>
        <w:spacing w:after="0" w:line="183"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Privileged Matters</w:t>
      </w:r>
      <w:r>
        <w:rPr>
          <w:rFonts w:ascii="Times New Roman" w:cs="Times New Roman" w:eastAsia="Times New Roman" w:hAnsi="Times New Roman"/>
          <w:sz w:val="18"/>
          <w:szCs w:val="18"/>
          <w:color w:val="auto"/>
        </w:rPr>
        <w:t>. The Parties recognize that legal and other professional services that have been and will be provided prior to the Distribution Date have been and will be rendered for the benefit of each of the members of the RemainCo Group and the members of the SpinCo Group, and that each of the members of the RemainCo Group and each of the members of the SpinCo Group should be deemed to be the client for the purposes of asserting all privileges which may be asserted under applicable Law. To allocate the interests of each Party in the information as to which any Party is entitled to assert a privilege, the Parties agree as follows:</w:t>
      </w:r>
    </w:p>
    <w:p>
      <w:pPr>
        <w:spacing w:after="0" w:line="75" w:lineRule="exact"/>
        <w:rPr>
          <w:sz w:val="20"/>
          <w:szCs w:val="20"/>
          <w:color w:val="auto"/>
        </w:rPr>
      </w:pPr>
    </w:p>
    <w:p>
      <w:pPr>
        <w:ind w:right="20" w:firstLine="1428"/>
        <w:spacing w:after="0" w:line="255" w:lineRule="auto"/>
        <w:tabs>
          <w:tab w:leader="none" w:pos="167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entitled, in perpetuity, to control the assertion or waiver of all privileges in connection with Privileged Information that relates primarily to the Royalty Business (other than with respect to Liabilities as to which SpinCo is required to provide indemnification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whether or not the Privileged Information is in the possession of or under the control of the Company or SpinCo. The Company shall also be entitled, in perpetuity, to control the assertion or waiver of all privileges, immunities or other protections in connection with any Privileged Information that relates primarily to the subject matter of any claims constituting RemainCo Liabilities, or other Liabilities as to which it is required to provide indemnification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now pending or which may be asserted in the future, whether or not the Privileged Information is in the possession of or under the control of any member of the RemainCo Group or the SpinCo Group.</w:t>
      </w:r>
    </w:p>
    <w:p>
      <w:pPr>
        <w:spacing w:after="0" w:line="188" w:lineRule="exact"/>
        <w:rPr>
          <w:rFonts w:ascii="Times New Roman" w:cs="Times New Roman" w:eastAsia="Times New Roman" w:hAnsi="Times New Roman"/>
          <w:sz w:val="18"/>
          <w:szCs w:val="18"/>
          <w:color w:val="auto"/>
        </w:rPr>
      </w:pPr>
    </w:p>
    <w:p>
      <w:pPr>
        <w:ind w:right="80" w:firstLine="1428"/>
        <w:spacing w:after="0" w:line="254" w:lineRule="auto"/>
        <w:tabs>
          <w:tab w:leader="none" w:pos="168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SpinCo shall be entitled, in perpetuity, to control the assertion or waiver of all privileges in connection with Privileged Information which relates primarily to the SpinCo Business (other than with respect to matters or claims that are RemainCo Liabilities or other Liabilities as to which the Company is required to provide indemnification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whether or not the Privileged Information is in the possession of or under the control of the Company or SpinCo. SpinCo shall also be entitled, in perpetuity, to control the assertion or waiver of all privileges, immunities or other protections in connection with any Privileged Information which relates solely to the subject matter of any claims constituting SpinCo Liabilities, or other Liabilities as to which it is required to provide indemnification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now pending or which may be asserted in the future, in any lawsuits or other Proceedings initiated against or by SpinCo, whether or not the Privileged Information is in the possession of SpinCo or under the control of any member of the RemainCo Group or the SpinCo Group.</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78" w:name="page79"/>
    <w:bookmarkEnd w:id="78"/>
    <w:p>
      <w:pPr>
        <w:ind w:right="420" w:firstLine="1428"/>
        <w:spacing w:after="0" w:line="282" w:lineRule="auto"/>
        <w:tabs>
          <w:tab w:leader="none" w:pos="16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Parties agree that they shall have a shared privilege, with equal right to assert or waive, subject to the restrictions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with respect to all privileges not allocated pursuant to the terms of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60" w:firstLine="1428"/>
        <w:spacing w:after="0" w:line="266" w:lineRule="auto"/>
        <w:tabs>
          <w:tab w:leader="none" w:pos="16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Party may waive any privilege which may be asserted under any applicable Law, and in which the other Party has a shared privilege, without the written consent of the other Party, such consent not to be unreasonably withheld or delayed, except to the extent reasonably required in connection with any Third Party Claims or as provided in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below.</w:t>
      </w:r>
    </w:p>
    <w:p>
      <w:pPr>
        <w:spacing w:after="0" w:line="175" w:lineRule="exact"/>
        <w:rPr>
          <w:rFonts w:ascii="Times New Roman" w:cs="Times New Roman" w:eastAsia="Times New Roman" w:hAnsi="Times New Roman"/>
          <w:sz w:val="18"/>
          <w:szCs w:val="18"/>
          <w:color w:val="auto"/>
        </w:rPr>
      </w:pPr>
    </w:p>
    <w:p>
      <w:pPr>
        <w:ind w:right="40" w:firstLine="1428"/>
        <w:spacing w:after="0" w:line="261" w:lineRule="auto"/>
        <w:tabs>
          <w:tab w:leader="none" w:pos="167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litigation or dispute between or among the Parties, or any members of the respective Groups, either Party may waive a privilege in which the other Party has a shared privilege, without obtaining the consent of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waiver of a shared privilege shall be effective only as to the use of Privileged Information with respect to the litigation or dispute between the members of the respective Groups, and shall not operate as a waiver of the shared privilege with respect to any Third Party Claims.</w:t>
      </w:r>
    </w:p>
    <w:p>
      <w:pPr>
        <w:spacing w:after="0" w:line="179" w:lineRule="exact"/>
        <w:rPr>
          <w:rFonts w:ascii="Times New Roman" w:cs="Times New Roman" w:eastAsia="Times New Roman" w:hAnsi="Times New Roman"/>
          <w:sz w:val="18"/>
          <w:szCs w:val="18"/>
          <w:color w:val="auto"/>
        </w:rPr>
      </w:pPr>
    </w:p>
    <w:p>
      <w:pPr>
        <w:ind w:firstLine="1428"/>
        <w:spacing w:after="0" w:line="261" w:lineRule="auto"/>
        <w:tabs>
          <w:tab w:leader="none" w:pos="165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dispute arises between or among the Parties or any members of the respective Groups regarding whether a privilege should be waived to protect or advance the interest of any Party, each Party agrees that it shall (i) negotiate in good faith, (ii) endeavor to minimize any prejudice to the rights of the other Party, and (iii) not unreasonably withhold consent to any request for a waiver by the other Party. Each Party hereto specifically agrees that it will not withhold consent to a waiver for any purpose except to protect its own legitimate interests.</w:t>
      </w:r>
    </w:p>
    <w:p>
      <w:pPr>
        <w:spacing w:after="0" w:line="179" w:lineRule="exact"/>
        <w:rPr>
          <w:rFonts w:ascii="Times New Roman" w:cs="Times New Roman" w:eastAsia="Times New Roman" w:hAnsi="Times New Roman"/>
          <w:sz w:val="18"/>
          <w:szCs w:val="18"/>
          <w:color w:val="auto"/>
        </w:rPr>
      </w:pPr>
    </w:p>
    <w:p>
      <w:pPr>
        <w:ind w:right="40" w:firstLine="1428"/>
        <w:spacing w:after="0" w:line="254" w:lineRule="auto"/>
        <w:tabs>
          <w:tab w:leader="none" w:pos="16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by any member of the respective Groups of any subpoena, discovery or other request that may reasonably be expected to result in the production or disclosure of Privileged Information subject to a shared privilege or as to which another Party has the sole right hereunder to assert a privilege, or if any Party obtains knowledge that any of its or any member of its Group’s current or former Representatives have received any subpoena, discovery or other request that may reasonably be expected to result in the production or disclosure of such Privileged Information, such Party shall promptly notify the other Party of the existence of the request (which notice shall be delivered to such other Party no later than five (5) business days following the receipt of such subpoena, discovery or other request) and shall provide the other Party a reasonable opportunity to review the information and to assert any rights it or they may have under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otherwise to prevent the production or disclosure of such Privileged Information.</w:t>
      </w:r>
    </w:p>
    <w:p>
      <w:pPr>
        <w:spacing w:after="0" w:line="191" w:lineRule="exact"/>
        <w:rPr>
          <w:rFonts w:ascii="Times New Roman" w:cs="Times New Roman" w:eastAsia="Times New Roman" w:hAnsi="Times New Roman"/>
          <w:sz w:val="18"/>
          <w:szCs w:val="18"/>
          <w:color w:val="auto"/>
        </w:rPr>
      </w:pPr>
    </w:p>
    <w:p>
      <w:pPr>
        <w:ind w:right="100" w:firstLine="1428"/>
        <w:spacing w:after="0" w:line="255" w:lineRule="auto"/>
        <w:tabs>
          <w:tab w:leader="none" w:pos="16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all Records and other information pursuant to this Agreement is made in reliance on the agreements of the Company and SpinCo, as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to maintain the confidentiality of Privileged Information and to assert and maintain all applicable privileges. The access to information being granted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hereof, the agreement to provide witnesses and individuals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hereof, the furnishing of notices and documents and other cooperative efforts contemplated by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hereof, and the transfer of Privileged Information between and among the Parties and their respective Subsidiaries and Representatives pursuant to this Agreement shall not be deemed a waiver of any privilege that has been or may be asserted under this Agreement or otherwise.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70" w:right="439" w:bottom="1440" w:gutter="0" w:footer="0" w:header="0"/>
        </w:sectPr>
      </w:pPr>
    </w:p>
    <w:bookmarkStart w:id="79" w:name="page80"/>
    <w:bookmarkEnd w:id="79"/>
    <w:p>
      <w:pPr>
        <w:ind w:left="4" w:right="140" w:firstLine="1428"/>
        <w:spacing w:after="0" w:line="266" w:lineRule="auto"/>
        <w:tabs>
          <w:tab w:leader="none" w:pos="1651"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acknowledge that Paul, Weiss, Rifkind, Wharton &amp; Garrison LLP (“</w:t>
      </w:r>
      <w:r>
        <w:rPr>
          <w:rFonts w:ascii="Times New Roman" w:cs="Times New Roman" w:eastAsia="Times New Roman" w:hAnsi="Times New Roman"/>
          <w:sz w:val="17"/>
          <w:szCs w:val="17"/>
          <w:u w:val="single" w:color="auto"/>
          <w:color w:val="auto"/>
        </w:rPr>
        <w:t>Prior Company Counsel</w:t>
      </w:r>
      <w:r>
        <w:rPr>
          <w:rFonts w:ascii="Times New Roman" w:cs="Times New Roman" w:eastAsia="Times New Roman" w:hAnsi="Times New Roman"/>
          <w:sz w:val="17"/>
          <w:szCs w:val="17"/>
          <w:color w:val="auto"/>
        </w:rPr>
        <w:t>”) have, on or prior to the Distribution Effective Time, represented one or more of the Parties and their Subsidiaries and other Affiliates, and their respective officers, employees and directors (each such Person, other than the RemainCo Group, a “</w:t>
      </w:r>
      <w:r>
        <w:rPr>
          <w:rFonts w:ascii="Times New Roman" w:cs="Times New Roman" w:eastAsia="Times New Roman" w:hAnsi="Times New Roman"/>
          <w:sz w:val="17"/>
          <w:szCs w:val="17"/>
          <w:u w:val="single" w:color="auto"/>
          <w:color w:val="auto"/>
        </w:rPr>
        <w:t>Designated Person</w:t>
      </w:r>
      <w:r>
        <w:rPr>
          <w:rFonts w:ascii="Times New Roman" w:cs="Times New Roman" w:eastAsia="Times New Roman" w:hAnsi="Times New Roman"/>
          <w:sz w:val="17"/>
          <w:szCs w:val="17"/>
          <w:color w:val="auto"/>
        </w:rPr>
        <w:t>”) in one or more matters relating to this Agreement (including any matter that may be related to a litigation, claim or dispute arising under or related to this Agreement) (each, an “</w:t>
      </w:r>
      <w:r>
        <w:rPr>
          <w:rFonts w:ascii="Times New Roman" w:cs="Times New Roman" w:eastAsia="Times New Roman" w:hAnsi="Times New Roman"/>
          <w:sz w:val="17"/>
          <w:szCs w:val="17"/>
          <w:u w:val="single" w:color="auto"/>
          <w:color w:val="auto"/>
        </w:rPr>
        <w:t>Existing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Representation</w:t>
      </w:r>
      <w:r>
        <w:rPr>
          <w:rFonts w:ascii="Times New Roman" w:cs="Times New Roman" w:eastAsia="Times New Roman" w:hAnsi="Times New Roman"/>
          <w:sz w:val="17"/>
          <w:szCs w:val="17"/>
          <w:color w:val="auto"/>
        </w:rPr>
        <w:t>”), and that, in the event of any post-Closing matters (x) relating to this Agreement (including any matter that may be related to a litigation, claim or dispute arising under or related to this Agreement) and (y) in which the Company or any of its Affiliates (including the RemainCo Group), on the one hand, and one or more Designated Persons, on the other hand, are or may be adverse to each other (each, a “</w:t>
      </w:r>
      <w:r>
        <w:rPr>
          <w:rFonts w:ascii="Times New Roman" w:cs="Times New Roman" w:eastAsia="Times New Roman" w:hAnsi="Times New Roman"/>
          <w:sz w:val="17"/>
          <w:szCs w:val="17"/>
          <w:u w:val="single" w:color="auto"/>
          <w:color w:val="auto"/>
        </w:rPr>
        <w:t>Post-Closing Matter</w:t>
      </w:r>
      <w:r>
        <w:rPr>
          <w:rFonts w:ascii="Times New Roman" w:cs="Times New Roman" w:eastAsia="Times New Roman" w:hAnsi="Times New Roman"/>
          <w:sz w:val="17"/>
          <w:szCs w:val="17"/>
          <w:color w:val="auto"/>
        </w:rPr>
        <w:t>”), the Designated Persons reasonably anticipate that Prior Company Counsel will represent them in connection with such matters. Accordingly, the Company hereby (i) waives and shall not assert, and agrees after the Distribution Effective Time to cause its Affiliates to waive and to not assert, any conflict of interest arising out of or relating to the representation by one or more Prior Company Counsel of one or more Designated Persons in connection with one or more Post-Closing Matters (the “</w:t>
      </w:r>
      <w:r>
        <w:rPr>
          <w:rFonts w:ascii="Times New Roman" w:cs="Times New Roman" w:eastAsia="Times New Roman" w:hAnsi="Times New Roman"/>
          <w:sz w:val="17"/>
          <w:szCs w:val="17"/>
          <w:u w:val="single" w:color="auto"/>
          <w:color w:val="auto"/>
        </w:rPr>
        <w:t>Post-Closing Representation</w:t>
      </w:r>
      <w:r>
        <w:rPr>
          <w:rFonts w:ascii="Times New Roman" w:cs="Times New Roman" w:eastAsia="Times New Roman" w:hAnsi="Times New Roman"/>
          <w:sz w:val="17"/>
          <w:szCs w:val="17"/>
          <w:color w:val="auto"/>
        </w:rPr>
        <w:t>”) and (ii) agrees that, in the event that a Post-Closing Matter arises, Prior Company Counsel may represent one or more Designated Persons in such Post-Closing Matter even though the interests of such Person(s) may be directly adverse to the Company or any of its Affiliates (including the RemainCo Group), and even though Prior Company Counsel may</w:t>
      </w:r>
    </w:p>
    <w:p>
      <w:pPr>
        <w:spacing w:after="0" w:line="9" w:lineRule="exact"/>
        <w:rPr>
          <w:rFonts w:ascii="Times New Roman" w:cs="Times New Roman" w:eastAsia="Times New Roman" w:hAnsi="Times New Roman"/>
          <w:sz w:val="17"/>
          <w:szCs w:val="17"/>
          <w:color w:val="auto"/>
        </w:rPr>
      </w:pPr>
    </w:p>
    <w:p>
      <w:pPr>
        <w:ind w:left="4" w:right="40" w:hanging="4"/>
        <w:spacing w:after="0" w:line="252" w:lineRule="auto"/>
        <w:tabs>
          <w:tab w:leader="none" w:pos="29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represented the RemainCo Group in a matter substantially related to such dispute or (B) be currently representing the RemainCo Group. Without limiting the foregoing, the Company (on behalf of itself and its Affiliates) consents to the disclosure by Prior Company Counsel, in connection with one or more Post-Closing Representations, to the Designated Persons of any information substantially related to such Post-Closing Representations learned by Prior Company Counsel in the course of one or more Existing Representations, whether or not such information is subject to the attorney-client privilege of the RemainCo Group or Prior Company Counsel’s duty of confidentiality as to the RemainCo Group and whether or not such disclosure is made before or after the Distribution Effective Time.</w:t>
      </w:r>
    </w:p>
    <w:p>
      <w:pPr>
        <w:spacing w:after="0" w:line="190" w:lineRule="exact"/>
        <w:rPr>
          <w:sz w:val="20"/>
          <w:szCs w:val="20"/>
          <w:color w:val="auto"/>
        </w:rPr>
      </w:pPr>
    </w:p>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Ownership of Information</w:t>
      </w:r>
      <w:r>
        <w:rPr>
          <w:rFonts w:ascii="Times New Roman" w:cs="Times New Roman" w:eastAsia="Times New Roman" w:hAnsi="Times New Roman"/>
          <w:sz w:val="18"/>
          <w:szCs w:val="18"/>
          <w:color w:val="auto"/>
        </w:rPr>
        <w:t xml:space="preserve">. Any information owned by one Party or any member of its Group that is provided to a requesting Party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deemed to remain the property of the providing Party (or member of its Group). Unless specifically set forth herein, nothing contained in this Agreement shall be construed as granting or conferring rights to any Party (or member of its Group) of license or otherwise in any such information, whether by implication, estoppel or otherwise.</w:t>
      </w:r>
    </w:p>
    <w:p>
      <w:pPr>
        <w:spacing w:after="0" w:line="180"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Cost of Providing Records and Information</w:t>
      </w:r>
      <w:r>
        <w:rPr>
          <w:rFonts w:ascii="Times New Roman" w:cs="Times New Roman" w:eastAsia="Times New Roman" w:hAnsi="Times New Roman"/>
          <w:sz w:val="18"/>
          <w:szCs w:val="18"/>
          <w:color w:val="auto"/>
        </w:rPr>
        <w:t xml:space="preserve">. A Party requesting Records, information or access to personnel, witnesses or properties,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agrees to reimburse the other Party (or member of such Party’s Group), upon the presentation of invoices therefor, for the reasonable out-of-pocket costs (which shall not include the costs of salaries and benefits of employees of such Party (or its Group or any of its or their respective then- Affiliates) or any pro rata portion of overhead or other costs of employing such employees which would have been incurred by such employees’ employer regardless of the employees’ service with respect to the foregoing), if any, incurred in seeking to satisfy the request of the requesting Party (or member of such Party’s Group).</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70" w:right="459" w:bottom="1440" w:gutter="0" w:footer="0" w:header="0"/>
        </w:sectPr>
      </w:pPr>
    </w:p>
    <w:bookmarkStart w:id="80" w:name="page81"/>
    <w:bookmarkEnd w:id="80"/>
    <w:p>
      <w:pPr>
        <w:ind w:left="4" w:right="280"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6.9 </w:t>
      </w:r>
      <w:r>
        <w:rPr>
          <w:rFonts w:ascii="Times New Roman" w:cs="Times New Roman" w:eastAsia="Times New Roman" w:hAnsi="Times New Roman"/>
          <w:sz w:val="17"/>
          <w:szCs w:val="17"/>
          <w:u w:val="single" w:color="auto"/>
          <w:color w:val="auto"/>
        </w:rPr>
        <w:t>Retention of Records</w:t>
      </w:r>
      <w:r>
        <w:rPr>
          <w:rFonts w:ascii="Times New Roman" w:cs="Times New Roman" w:eastAsia="Times New Roman" w:hAnsi="Times New Roman"/>
          <w:sz w:val="17"/>
          <w:szCs w:val="17"/>
          <w:color w:val="auto"/>
        </w:rPr>
        <w:t xml:space="preserve">. Except (a) as provided in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(b) when a longer retention period is otherwise required by applicable Law or (c) as agreed to in writing by the Parties, the RemainCo Group and the SpinCo Group shall use commercially reasonable efforts to retain all Records relating to the Royalty Business and the SpinCo Business, as applicable, in accordance with its respective regular records retention policies and procedures, until the latest of: (i) the maximum amount of time required under each Parties’ respective records retention policies and procedures, (ii) the date on which such Records are no longer required to be retained pursuant to any “litigation hold” issued by the Company or any member of the RemainCo Group prior to the Distribution and communicated to SpinCo in writing at least thirty (30) days prior to the Distribution,</w:t>
      </w:r>
    </w:p>
    <w:p>
      <w:pPr>
        <w:spacing w:after="0" w:line="5" w:lineRule="exact"/>
        <w:rPr>
          <w:sz w:val="20"/>
          <w:szCs w:val="20"/>
          <w:color w:val="auto"/>
        </w:rPr>
      </w:pPr>
    </w:p>
    <w:p>
      <w:pPr>
        <w:ind w:left="4" w:hanging="4"/>
        <w:spacing w:after="0" w:line="251" w:lineRule="auto"/>
        <w:tabs>
          <w:tab w:leader="none" w:pos="31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concluding date of any period as may be required by any applicable Law, (iv) with respect to any pending or threatened Proceeding arising after the Distribution Date, to the extent that any member of a Group in possession of such Records has been notified in writing pursuant to a “litigation hold” by any Party of such pending or threatened Proceeding, the concluding date of any such “litigation hold,” and (v) the concluding date of any period during which the destruction of such Records would reasonably be expected to interfere with a pending or threatened investigation by a Governmental Authority which is known to any member of the Group in possession of such Records at the time any retention obligation with regard to such Records would otherwise expire. Each Party shall, and shall cause the other members of its Group (and any of their respective then-Affiliates) to use commercially reasonable efforts (at the requesting Party’s sole cost and expense) to preserve and not to destroy or dispose of such Records without the prior written consent (such consent not to be unreasonably withheld, conditioned or delayed) of the requesting Party (and, for the avoidance of doubt, commercially reasonable efforts shall include issuing a “litigation hold”).</w:t>
      </w:r>
    </w:p>
    <w:p>
      <w:pPr>
        <w:spacing w:after="0" w:line="193"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Other Agreements Providing for Exchange of Information</w:t>
      </w:r>
      <w:r>
        <w:rPr>
          <w:rFonts w:ascii="Times New Roman" w:cs="Times New Roman" w:eastAsia="Times New Roman" w:hAnsi="Times New Roman"/>
          <w:sz w:val="18"/>
          <w:szCs w:val="18"/>
          <w:color w:val="auto"/>
        </w:rPr>
        <w:t xml:space="preserve">. The rights and obligations granted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are subject to any specific limitations, qualifications and additional provisions on the sharing, exchange or confidential treatment of Confidential Information set forth in this Agreement, the Transition Services Agreement and in any other agreement to which a member of the RemainCo Group and a member of the SpinCo Group is a party.</w:t>
      </w:r>
    </w:p>
    <w:p>
      <w:pPr>
        <w:spacing w:after="0" w:line="180" w:lineRule="exact"/>
        <w:rPr>
          <w:sz w:val="20"/>
          <w:szCs w:val="20"/>
          <w:color w:val="auto"/>
        </w:rPr>
      </w:pPr>
    </w:p>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Policies and Best Practices</w:t>
      </w:r>
      <w:r>
        <w:rPr>
          <w:rFonts w:ascii="Times New Roman" w:cs="Times New Roman" w:eastAsia="Times New Roman" w:hAnsi="Times New Roman"/>
          <w:sz w:val="18"/>
          <w:szCs w:val="18"/>
          <w:color w:val="auto"/>
        </w:rPr>
        <w:t>. Without representation or warranty, SpinCo and the Company shall continue to be permitted to share, on a confidential basis, “best practices” information and materials (such as policies, workflow templates and standard form Contracts).</w:t>
      </w:r>
    </w:p>
    <w:p>
      <w:pPr>
        <w:spacing w:after="0" w:line="162"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deemed to require any Person to provide any Privileged Information if doing so would, in the opinion of counsel to such Person, be inconsistent with any legal or constitutional obligation applicable to such Person.</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4"/>
          </w:cols>
          <w:pgMar w:left="436" w:top="270" w:right="45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THE DISTRIBUTION</w:t>
      </w:r>
    </w:p>
    <w:p>
      <w:pPr>
        <w:spacing w:after="0" w:line="229"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Precedent to Distribution</w:t>
      </w:r>
      <w:r>
        <w:rPr>
          <w:rFonts w:ascii="Times New Roman" w:cs="Times New Roman" w:eastAsia="Times New Roman" w:hAnsi="Times New Roman"/>
          <w:sz w:val="18"/>
          <w:szCs w:val="18"/>
          <w:color w:val="auto"/>
        </w:rPr>
        <w:t>. The consummation of the Distribution shall be conditioned upon the satisfaction or waiver by each Party of each of the following conditions:</w:t>
      </w:r>
    </w:p>
    <w:p>
      <w:pPr>
        <w:spacing w:after="0" w:line="54" w:lineRule="exact"/>
        <w:rPr>
          <w:sz w:val="20"/>
          <w:szCs w:val="20"/>
          <w:color w:val="auto"/>
        </w:rPr>
      </w:pPr>
    </w:p>
    <w:p>
      <w:pPr>
        <w:ind w:firstLine="1428"/>
        <w:spacing w:after="0" w:line="266" w:lineRule="auto"/>
        <w:tabs>
          <w:tab w:leader="none" w:pos="16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Registration Statement shall have been declared effective by the SEC and no stop order suspending the effectiveness of the Spin-Off Registration Statement shall be in effect, no Proceedings for such purpose shall be pending before or threatened by the SEC, and the Information Statement shall have been mailed to holders of Company Common Stock as of the Distribution Record Date;</w:t>
      </w:r>
    </w:p>
    <w:p>
      <w:pPr>
        <w:spacing w:after="0" w:line="175" w:lineRule="exact"/>
        <w:rPr>
          <w:rFonts w:ascii="Times New Roman" w:cs="Times New Roman" w:eastAsia="Times New Roman" w:hAnsi="Times New Roman"/>
          <w:sz w:val="18"/>
          <w:szCs w:val="18"/>
          <w:color w:val="auto"/>
        </w:rPr>
      </w:pPr>
    </w:p>
    <w:p>
      <w:pPr>
        <w:ind w:right="520" w:firstLine="1428"/>
        <w:spacing w:after="0" w:line="282" w:lineRule="auto"/>
        <w:tabs>
          <w:tab w:leader="none" w:pos="168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Common Stock to be delivered in the Distribution shall have been accepted for listing on a National Securities Exchange, subject to compliance with applicable listing requirements;</w:t>
      </w:r>
    </w:p>
    <w:p>
      <w:pPr>
        <w:spacing w:after="0" w:line="161" w:lineRule="exact"/>
        <w:rPr>
          <w:rFonts w:ascii="Times New Roman" w:cs="Times New Roman" w:eastAsia="Times New Roman" w:hAnsi="Times New Roman"/>
          <w:sz w:val="18"/>
          <w:szCs w:val="18"/>
          <w:color w:val="auto"/>
        </w:rPr>
      </w:pPr>
    </w:p>
    <w:p>
      <w:pPr>
        <w:ind w:right="240" w:firstLine="1428"/>
        <w:spacing w:after="0" w:line="282" w:lineRule="auto"/>
        <w:tabs>
          <w:tab w:leader="none" w:pos="167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injunction by any court or other tribunal of competent jurisdiction shall have been entered and shall continue to be in effect and no Law shall have been adopted or be effective preventing consummation of the Distribution or the Pre-Closing Reorganization;</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Services Agreement shall have been duly executed and delivered by the parties thereto; and</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Pre-Closing Reorganization shall have been effected in all material respects.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covenants and agreements of the Parties contained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of this Agreement shall survive the Distribution Date.</w:t>
      </w:r>
    </w:p>
    <w:p>
      <w:pPr>
        <w:spacing w:after="0" w:line="176"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Distribution Expenses</w:t>
      </w:r>
      <w:r>
        <w:rPr>
          <w:rFonts w:ascii="Times New Roman" w:cs="Times New Roman" w:eastAsia="Times New Roman" w:hAnsi="Times New Roman"/>
          <w:sz w:val="18"/>
          <w:szCs w:val="18"/>
          <w:color w:val="auto"/>
        </w:rPr>
        <w:t>. Except as otherwise set forth in this Agreement or the Transition Services Agreement, all costs and expenses incurred on or prior to the Distribution Date in connection with the preparation, execution, delivery, printing and implementation of this Agreement, the Transition Services Agreement, the Information Statement and the Spin-Off Registration Statement, and the Distribution and the consummation of the transactions contemplated thereby, shall be charged to and paid by RemainCo, and shall be deemed to be RemainCo Liabilities, in each case to the extent they are not paid prior to the Distribution Effective Time. Except as otherwise set forth in this Agreement or the Transition Services Agreement, each Party shall bear its own costs and expenses incurred after the Distribution Date. Any amount or expense to be paid or reimbursed by any Party to any other Party shall be so paid or reimbursed promptly after the existence and amount of such obligation is determined and written demand therefor is made.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66" w:right="459" w:bottom="1440" w:gutter="0" w:footer="0" w:header="0"/>
        </w:sectPr>
      </w:pPr>
    </w:p>
    <w:bookmarkStart w:id="82" w:name="page83"/>
    <w:bookmarkEnd w:id="82"/>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Law and as otherwise provided in this Agreement, at any time prior to the Distribution Effective Time, this Agreement may be amended, modified and supplemented, by written agreement of the Parties. This Agreement may not be amended except by an instrument in writing signed on behalf of each of the Parties.</w:t>
      </w:r>
    </w:p>
    <w:p>
      <w:pPr>
        <w:spacing w:after="0" w:line="176"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At any time prior to the Distribution Effective Time, either Party may (a) extend the time for the performance of any of the obligations or other acts of the other Party or (b) waive compliance with any of the agreements of the other Party or any conditions to its own obligations, in each case, only to the extent such obligations, agreements and conditions are intended for its benefit</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extension or waiver will be binding upon a Party only if such extension or waiver is set forth in a writing executed by such Party.</w:t>
      </w:r>
    </w:p>
    <w:p>
      <w:pPr>
        <w:spacing w:after="0" w:line="180"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Counterparts and Signature</w:t>
      </w:r>
      <w:r>
        <w:rPr>
          <w:rFonts w:ascii="Times New Roman" w:cs="Times New Roman" w:eastAsia="Times New Roman" w:hAnsi="Times New Roman"/>
          <w:sz w:val="18"/>
          <w:szCs w:val="18"/>
          <w:color w:val="auto"/>
        </w:rPr>
        <w:t>. This Agreement may be executed in two (2) or more counterparts (including by an electronic signature, electronic scan or electronic transmission in portable document format (.pdf), including (but not limited to) DocuSign, delivered by electronic mail), each of which will be deemed an original but all of which together will be considered one and the same agreement and will become effective when counterparts have been signed by each of the Parties and delivered to the other Parties, it being understood that all Parties need not sign the same counterpart.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Binding Effect; No Assignment; No Third Party Beneficiaries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428"/>
        <w:spacing w:after="0" w:line="253" w:lineRule="auto"/>
        <w:tabs>
          <w:tab w:leader="none" w:pos="167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will not be assigned by any Party (whether by operation of Law or otherwise) without the prior written consent of the other Party, except that SpinCo shall have the right to, without RemainCo’s consent, assign or sell, or grant security interests in or enter into account control agreements with respect to, or otherwise encumber, in whole or in part, its rights to receive the Vanda Milestones together with its rights under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this Agreement, and RemainCo shall agree to use commercially reasonable efforts to cooperate with SpinCo and any third-party successor, assignee, purchaser, or secured party in connection with any such assignment, sale, or encumbrance, including, without limitation, by executing and delivering acknowledgment letters, payment direction letters, UCC financing statements, and such other documents and instruments as may be reasonably requested by SpinCo or such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is in addition to, and not in limitation of, RemainCo’s obligations in connection with the perfection, maintenance, or enforcement of any security interest granted to SpinCo under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this Agreement. Subject to the preceding sentence, but without relieving any Party of any obligation hereunder, this Agreement will be binding upon, inure to the benefit of and be enforceable by the Parties and their respective successors and assigns.</w:t>
      </w:r>
    </w:p>
    <w:p>
      <w:pPr>
        <w:spacing w:after="0" w:line="194" w:lineRule="exact"/>
        <w:rPr>
          <w:rFonts w:ascii="Times New Roman" w:cs="Times New Roman" w:eastAsia="Times New Roman" w:hAnsi="Times New Roman"/>
          <w:sz w:val="18"/>
          <w:szCs w:val="18"/>
          <w:color w:val="auto"/>
        </w:rPr>
      </w:pPr>
    </w:p>
    <w:p>
      <w:pPr>
        <w:ind w:right="20" w:firstLine="1428"/>
        <w:spacing w:after="0" w:line="266" w:lineRule="auto"/>
        <w:tabs>
          <w:tab w:leader="none" w:pos="168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relating to Indemnified Parties, nothing in this Agreement, express or implied, will confer upon any Person other than RemainCo, and SpinCo and their respective successors and permitted assigns any right, benefit or remedy of any nature by reason of this Agreement.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83" w:name="page84"/>
    <w:bookmarkEnd w:id="83"/>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(including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may be terminated and the Distribution may be amended, modified or abandoned at any time prior to the Distribution by any written instrument executed by the Company, without the approval of SpinCo. In the event of such termination, no Party shall have any Liability of any kind to any other Party or any other Person. After the Distribution, this Agreement may not be terminated except by an agreement in writing signed by the Parties</w:t>
      </w:r>
      <w:r>
        <w:rPr>
          <w:rFonts w:ascii="Times New Roman" w:cs="Times New Roman" w:eastAsia="Times New Roman" w:hAnsi="Times New Roman"/>
          <w:sz w:val="18"/>
          <w:szCs w:val="18"/>
          <w:u w:val="single" w:color="auto"/>
          <w:color w:val="auto"/>
        </w:rPr>
        <w:t>;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terminated or amended after the Distribution in respect of a Third Party beneficiary thereto without the consent of such Person.</w:t>
      </w:r>
    </w:p>
    <w:p>
      <w:pPr>
        <w:spacing w:after="0" w:line="183"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of the Parties shall cause to be performed, and hereby guarantees the performance of, all actions, agreements and obligations set forth herein to be performed by any entity that is contemplated to be a Subsidiary of such Party after the Distribution Date.</w:t>
      </w:r>
    </w:p>
    <w:p>
      <w:pPr>
        <w:spacing w:after="0" w:line="176"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actions arising under or in connection therewith will be governed by and construed in accordance with the Laws of the State of Delaware, regardless of any Laws that might otherwise govern under applicable principles of conflicts of law. The Parties expressly acknowledge and agree that: (i) the requirements of 6 Del. C. § 2708 are satisfied by the provisions of this Agreement and that such statute mandates the application of Delaware Law to this Agreement, the relationship of the Parties, the transactions contemplated by this Agreement, and the interpretation and enforcement of the rights and duties of any Party; (ii) the Parties have a reasonable basis for the application of Delaware Law to this Agreement, the relationship of the Parties, the transactions contemplated by this Agreement, and the interpretation and enforcement of the rights and duties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w:t>
      </w:r>
    </w:p>
    <w:p>
      <w:pPr>
        <w:spacing w:after="0" w:line="188"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 xml:space="preserve">Section 8.10 </w:t>
      </w:r>
      <w:r>
        <w:rPr>
          <w:rFonts w:ascii="Times New Roman" w:cs="Times New Roman" w:eastAsia="Times New Roman" w:hAnsi="Times New Roman"/>
          <w:sz w:val="17"/>
          <w:szCs w:val="17"/>
          <w:u w:val="single" w:color="auto"/>
          <w:color w:val="auto"/>
        </w:rPr>
        <w:t>Submission to Jurisdiction; Waiver</w:t>
      </w:r>
      <w:r>
        <w:rPr>
          <w:rFonts w:ascii="Times New Roman" w:cs="Times New Roman" w:eastAsia="Times New Roman" w:hAnsi="Times New Roman"/>
          <w:sz w:val="17"/>
          <w:szCs w:val="17"/>
          <w:color w:val="auto"/>
        </w:rPr>
        <w:t>. Each of the Company and SpinCo irrevocably agrees that any legal action or Proceeding with respect to this Agreement or the transactions contemplated hereby or for recognition and enforcement of any judgment in respect hereof brought by the other Party or its successors or assigns will be brought and determined in the Court of Chancery in the State of Delaware and, if such court declines jurisdiction, any other state court of the State of Delaware or the United States District Court for the District of Delaware, and each of the Company and SpinCo hereby irrevocably submits with respect to any action or Proceeding for itself and in respect to its property, generally and unconditionally, to the exclusive jurisdiction of the aforesaid courts. Each of the Company and SpinCo hereby irrevocably waives, and agrees not to assert, by way of motion, as a defense, counterclaim or otherwise, in any action or Proceeding with respect to this Agreement, (a) any claim that it is not personally subject to the jurisdiction of the above-named courts for any reason other than the failure to lawfully serve process,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Law, that (i) the suit, action or Proceeding in any such court is brought in an inconvenient forum, (ii) the venue of such suit, action or Proceeding is improper and</w:t>
      </w:r>
    </w:p>
    <w:p>
      <w:pPr>
        <w:spacing w:after="0" w:line="2" w:lineRule="exact"/>
        <w:rPr>
          <w:sz w:val="20"/>
          <w:szCs w:val="20"/>
          <w:color w:val="auto"/>
        </w:rPr>
      </w:pPr>
    </w:p>
    <w:p>
      <w:pPr>
        <w:ind w:left="5424" w:right="4620" w:hanging="5424"/>
        <w:spacing w:after="0" w:line="433" w:lineRule="auto"/>
        <w:tabs>
          <w:tab w:leader="none" w:pos="32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the subject matter hereof, is not enforceable in or by such courts. 63</w:t>
      </w:r>
    </w:p>
    <w:p>
      <w:pPr>
        <w:sectPr>
          <w:pgSz w:w="11900" w:h="16838" w:orient="portrait"/>
          <w:cols w:equalWidth="0" w:num="1">
            <w:col w:w="10984"/>
          </w:cols>
          <w:pgMar w:left="436" w:top="270" w:right="479" w:bottom="1440" w:gutter="0" w:footer="0" w:header="0"/>
        </w:sectPr>
      </w:pPr>
    </w:p>
    <w:bookmarkStart w:id="84" w:name="page85"/>
    <w:bookmarkEnd w:id="84"/>
    <w:p>
      <w:pPr>
        <w:ind w:left="4" w:right="40" w:firstLine="991"/>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8.11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OF THE COMPANY AND SPINCO HEREBY IRREVOCABLY WAIVES THE RIGHT TO A TRIAL BY JURY IN ANY ACTION, PROCEEDING OR COUNTERCLAIM (WHETHER BASED IN CONTRACT, TORT OR OTHERWISE) ARISING OUT OF, UNDER OR IN CONNECTION WITH THIS AGREEMENT OR ANY RELATED DOCUMENT, OR ANY COURSE OF CONDUCT, COURSE OF DEALINGS, STATEMENT OR ACTION RELATED HERETO OR THERETO. Each Party certifies and acknowledges that</w:t>
      </w:r>
    </w:p>
    <w:p>
      <w:pPr>
        <w:spacing w:after="0" w:line="3" w:lineRule="exact"/>
        <w:rPr>
          <w:sz w:val="20"/>
          <w:szCs w:val="20"/>
          <w:color w:val="auto"/>
        </w:rPr>
      </w:pPr>
    </w:p>
    <w:p>
      <w:pPr>
        <w:jc w:val="both"/>
        <w:ind w:left="4" w:right="60" w:hanging="4"/>
        <w:spacing w:after="0" w:line="255" w:lineRule="auto"/>
        <w:tabs>
          <w:tab w:leader="none" w:pos="24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28"/>
        <w:spacing w:after="0" w:line="258" w:lineRule="auto"/>
        <w:tabs>
          <w:tab w:leader="none" w:pos="168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in the event of any breach of this Agreement, irreparable harm would occur that monetary damages could not make whole. It is accordingly agreed that (i) each Party will be entitled, in addition to any other remedy to which it may be entitled at Law or in equity, to specific performance, or other non-monetary equitable relief, to prevent or restrain breaches or threatened breaches of this Agreement in any action without the posting of a bond or undertaking and (ii) the Parties will, and hereby do, waive, in any action for specific performance, the defense of adequacy of a remedy at Law and any other objections to specific performance of this Agreement.</w:t>
      </w:r>
    </w:p>
    <w:p>
      <w:pPr>
        <w:spacing w:after="0" w:line="183" w:lineRule="exact"/>
        <w:rPr>
          <w:rFonts w:ascii="Times New Roman" w:cs="Times New Roman" w:eastAsia="Times New Roman" w:hAnsi="Times New Roman"/>
          <w:sz w:val="18"/>
          <w:szCs w:val="18"/>
          <w:color w:val="auto"/>
        </w:rPr>
      </w:pPr>
    </w:p>
    <w:p>
      <w:pPr>
        <w:ind w:left="4" w:right="40" w:firstLine="1428"/>
        <w:spacing w:after="0" w:line="282" w:lineRule="auto"/>
        <w:tabs>
          <w:tab w:leader="none" w:pos="169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Parties’ rights to specific performance pursuant to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 each Party may pursue any other remedy available to it at Law or in equity, including monetary damages.</w:t>
      </w:r>
    </w:p>
    <w:p>
      <w:pPr>
        <w:spacing w:after="0" w:line="162" w:lineRule="exact"/>
        <w:rPr>
          <w:sz w:val="20"/>
          <w:szCs w:val="20"/>
          <w:color w:val="auto"/>
        </w:rPr>
      </w:pPr>
    </w:p>
    <w:p>
      <w:pPr>
        <w:ind w:left="4" w:right="3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hereunder will be in writing and will be deemed given when delivered in person, by overnight courier, or by email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“bounce back” or similar message of non-delivery is received with respect thereto), or two (2) business days after being sent by registered or certified mail (postage prepaid, return receipt requested), as follows:</w:t>
      </w:r>
    </w:p>
    <w:p>
      <w:pPr>
        <w:spacing w:after="0" w:line="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the Company:</w:t>
      </w:r>
    </w:p>
    <w:p>
      <w:pPr>
        <w:sectPr>
          <w:pgSz w:w="11900" w:h="16838" w:orient="portrait"/>
          <w:cols w:equalWidth="0" w:num="1">
            <w:col w:w="11004"/>
          </w:cols>
          <w:pgMar w:left="436" w:top="270" w:right="459" w:bottom="1440" w:gutter="0" w:footer="0" w:header="0"/>
        </w:sectPr>
      </w:pP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AnaptysBio,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10770 Wateridge Circle, Suite 210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Attention:</w:t>
        <w:tab/>
        <w:t>Daniel Faga</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8">
            <w:col w:w="44" w:space="140"/>
            <w:col w:w="40" w:space="140"/>
            <w:col w:w="40" w:space="140"/>
            <w:col w:w="40" w:space="140"/>
            <w:col w:w="40" w:space="140"/>
            <w:col w:w="40" w:space="140"/>
            <w:col w:w="40" w:space="420"/>
            <w:col w:w="9460"/>
          </w:cols>
          <w:pgMar w:left="436" w:top="270" w:right="459" w:bottom="1440" w:gutter="0" w:footer="0" w:header="0"/>
          <w:type w:val="continuous"/>
        </w:sectPr>
      </w:pPr>
    </w:p>
    <w:p>
      <w:pPr>
        <w:jc w:val="center"/>
        <w:ind w:right="-2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70" w:right="459" w:bottom="1440" w:gutter="0" w:footer="0" w:header="0"/>
          <w:type w:val="continuous"/>
        </w:sectPr>
      </w:pPr>
    </w:p>
    <w:bookmarkStart w:id="85" w:name="page86"/>
    <w:bookmarkEnd w:id="85"/>
    <w:p>
      <w:pPr>
        <w:ind w:left="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does not constitute notice under this Agreement)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New York 10019-6064</w:t>
      </w:r>
    </w:p>
    <w:p>
      <w:pPr>
        <w:spacing w:after="0" w:line="9" w:lineRule="exact"/>
        <w:rPr>
          <w:sz w:val="20"/>
          <w:szCs w:val="20"/>
          <w:color w:val="auto"/>
        </w:rPr>
      </w:pPr>
    </w:p>
    <w:p>
      <w:pPr>
        <w:ind w:left="1540"/>
        <w:spacing w:after="0"/>
        <w:tabs>
          <w:tab w:leader="none" w:pos="2520" w:val="left"/>
        </w:tabs>
        <w:rPr>
          <w:sz w:val="20"/>
          <w:szCs w:val="20"/>
          <w:color w:val="auto"/>
        </w:rPr>
      </w:pPr>
      <w:r>
        <w:rPr>
          <w:rFonts w:ascii="Times New Roman" w:cs="Times New Roman" w:eastAsia="Times New Roman" w:hAnsi="Times New Roman"/>
          <w:sz w:val="18"/>
          <w:szCs w:val="18"/>
          <w:color w:val="auto"/>
        </w:rPr>
        <w:t>Attention:</w:t>
        <w:tab/>
        <w:t>Krishna Veeraraghavan</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Benjamin M. Goodchild</w:t>
      </w:r>
    </w:p>
    <w:p>
      <w:pPr>
        <w:spacing w:after="0" w:line="9" w:lineRule="exact"/>
        <w:rPr>
          <w:sz w:val="20"/>
          <w:szCs w:val="20"/>
          <w:color w:val="auto"/>
        </w:rPr>
      </w:pPr>
    </w:p>
    <w:p>
      <w:pPr>
        <w:ind w:left="1540"/>
        <w:spacing w:after="0"/>
        <w:tabs>
          <w:tab w:leader="none" w:pos="25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KVeeraraghavan@paulweiss.com</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BGoodchild@paulweiss.com</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If to SpinCo: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10770 Wateridge Circle, Suite 210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ind w:left="1540"/>
        <w:spacing w:after="0"/>
        <w:tabs>
          <w:tab w:leader="none" w:pos="2520" w:val="left"/>
        </w:tabs>
        <w:rPr>
          <w:sz w:val="20"/>
          <w:szCs w:val="20"/>
          <w:color w:val="auto"/>
        </w:rPr>
      </w:pPr>
      <w:r>
        <w:rPr>
          <w:rFonts w:ascii="Times New Roman" w:cs="Times New Roman" w:eastAsia="Times New Roman" w:hAnsi="Times New Roman"/>
          <w:sz w:val="18"/>
          <w:szCs w:val="18"/>
          <w:color w:val="auto"/>
        </w:rPr>
        <w:t>Attention:</w:t>
        <w:tab/>
        <w:t>Daniel Faga</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with a copy (which does not constitute notice under this Agreement)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New York 10019-6064</w:t>
      </w:r>
    </w:p>
    <w:p>
      <w:pPr>
        <w:spacing w:after="0" w:line="9" w:lineRule="exact"/>
        <w:rPr>
          <w:sz w:val="20"/>
          <w:szCs w:val="20"/>
          <w:color w:val="auto"/>
        </w:rPr>
      </w:pPr>
    </w:p>
    <w:p>
      <w:pPr>
        <w:ind w:left="1540"/>
        <w:spacing w:after="0"/>
        <w:tabs>
          <w:tab w:leader="none" w:pos="2520" w:val="left"/>
        </w:tabs>
        <w:rPr>
          <w:sz w:val="20"/>
          <w:szCs w:val="20"/>
          <w:color w:val="auto"/>
        </w:rPr>
      </w:pPr>
      <w:r>
        <w:rPr>
          <w:rFonts w:ascii="Times New Roman" w:cs="Times New Roman" w:eastAsia="Times New Roman" w:hAnsi="Times New Roman"/>
          <w:sz w:val="18"/>
          <w:szCs w:val="18"/>
          <w:color w:val="auto"/>
        </w:rPr>
        <w:t>Attention:</w:t>
        <w:tab/>
        <w:t>Krishna Veeraraghavan</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Benjamin M. Goodchild</w:t>
      </w:r>
    </w:p>
    <w:p>
      <w:pPr>
        <w:spacing w:after="0" w:line="9" w:lineRule="exact"/>
        <w:rPr>
          <w:sz w:val="20"/>
          <w:szCs w:val="20"/>
          <w:color w:val="auto"/>
        </w:rPr>
      </w:pPr>
    </w:p>
    <w:p>
      <w:pPr>
        <w:ind w:left="1540"/>
        <w:spacing w:after="0"/>
        <w:tabs>
          <w:tab w:leader="none" w:pos="25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KVeeraraghavan@paulweiss.com</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BGoodchild@paulweiss.com</w:t>
      </w:r>
    </w:p>
    <w:p>
      <w:pPr>
        <w:spacing w:after="0" w:line="20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Any Party may by notice delivered in accordance with this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to the other Parties designate updated information for notices hereunder. Notice of any change to the address or any of the other details specified in or pursuant to this section will not be deemed to have been received until, and will be deemed to have been received upon, the later of the date specified in such notice or the date that is five (5) business days after such notice would otherwise be deemed to have been received pursuant to this section. Nothing in this section will be deemed to constitute consent to the manner or address for service of process in connection with any legal Proceeding, including litigation arising out of or in connection with this Agreement.</w:t>
      </w:r>
    </w:p>
    <w:p>
      <w:pPr>
        <w:spacing w:after="0" w:line="18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Annexes or Exhibits hereto and the documents and instruments referenced herein) and the Transition Services Agreement contain the entire agreement among the Parties with respect to the subject matter hereof and supersede all previous negotiations, commitments and writings with respect to such subject matter of prior agreements, written or oral, among the Parties with respect thereto.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86" w:name="page87"/>
    <w:bookmarkEnd w:id="86"/>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The Parties will replace such invalid or unenforceable provision of this Agreement with a valid and enforceable provision that will achieve, to the extent possible, the economic, business and other purposes of such invalid or unenforceable provision.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840"/>
          </w:cols>
          <w:pgMar w:left="440" w:top="270" w:right="6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as of the day and year first above written.</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ANAPTYSBIO,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Daniel Faga</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Daniel Faga</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EPARATION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ISTRIBUTION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320"/>
          </w:cols>
          <w:pgMar w:left="1420" w:top="270" w:right="115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TRACKS BIOTHERAPEUTICS,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Tracks Biotherapeutics, Inc., a Delaware corporation, hereby certifies as follows:</w:t>
      </w:r>
    </w:p>
    <w:p>
      <w:pPr>
        <w:spacing w:after="0" w:line="117" w:lineRule="exact"/>
        <w:rPr>
          <w:sz w:val="20"/>
          <w:szCs w:val="20"/>
          <w:color w:val="auto"/>
        </w:rPr>
      </w:pPr>
    </w:p>
    <w:p>
      <w:pPr>
        <w:jc w:val="both"/>
        <w:ind w:firstLine="436"/>
        <w:spacing w:after="0" w:line="266" w:lineRule="auto"/>
        <w:tabs>
          <w:tab w:leader="none" w:pos="63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this corporation is “First Tracks Biotherapeutics, Inc.” The date of the filing of its original Certificate of Incorporation with the Secretary of State of the State of Delaware was October 17, 2025. This corporation was originally incorporated under the name of Biopharma Company, Inc.</w:t>
      </w:r>
    </w:p>
    <w:p>
      <w:pPr>
        <w:spacing w:after="0" w:line="175" w:lineRule="exact"/>
        <w:rPr>
          <w:rFonts w:ascii="Times New Roman" w:cs="Times New Roman" w:eastAsia="Times New Roman" w:hAnsi="Times New Roman"/>
          <w:sz w:val="18"/>
          <w:szCs w:val="18"/>
          <w:color w:val="auto"/>
        </w:rPr>
      </w:pPr>
    </w:p>
    <w:p>
      <w:pPr>
        <w:jc w:val="both"/>
        <w:ind w:firstLine="436"/>
        <w:spacing w:after="0" w:line="258" w:lineRule="auto"/>
        <w:tabs>
          <w:tab w:leader="none" w:pos="63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Certificate of Incorporation of this corporation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is incorporated herein by this reference, and which restates, integrates and further amends the provisions of the Certificate of Incorporation of this corporation, as previously amended and/or supplemented,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corporation has caused this Amended and Restated Certificate of Incorporation to be signed by its duly authorized officer and the foregoing facts stated herein are true and correct.</w:t>
      </w:r>
    </w:p>
    <w:p>
      <w:pPr>
        <w:spacing w:after="0" w:line="189"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color w:val="auto"/>
        </w:rPr>
        <w:t>Dated: April 20, 2026</w:t>
      </w:r>
      <w:r>
        <w:rPr>
          <w:sz w:val="20"/>
          <w:szCs w:val="20"/>
          <w:color w:val="auto"/>
        </w:rPr>
        <w:tab/>
      </w:r>
      <w:r>
        <w:rPr>
          <w:rFonts w:ascii="Times New Roman" w:cs="Times New Roman" w:eastAsia="Times New Roman" w:hAnsi="Times New Roman"/>
          <w:sz w:val="18"/>
          <w:szCs w:val="18"/>
          <w:color w:val="auto"/>
        </w:rPr>
        <w:t>FIRST TRACKS BIOTHERAPEUTICS, INC.</w:t>
      </w:r>
    </w:p>
    <w:p>
      <w:pPr>
        <w:spacing w:after="0" w:line="22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By:  /s/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Daniel Faga</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020"/>
          </w:cols>
          <w:pgMar w:left="440" w:top="117" w:right="4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TRACKS BIOTHERAPEUTICS,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NAME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First Tracks Biotherapeutics,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AGENT FOR SERVICE OF PROCESS</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City of Wilmington, County of New Castle, Delaware 19808, and the name of the registered agent of the Corporation in the State of Delaware at such address is Corporation Service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PURPOSE</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8"/>
          <w:szCs w:val="18"/>
          <w:b w:val="1"/>
          <w:bCs w:val="1"/>
          <w:i w:val="1"/>
          <w:iCs w:val="1"/>
          <w:color w:val="auto"/>
        </w:rPr>
        <w:t>General Corporation Law</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AUTHORIZED STOCK</w:t>
      </w:r>
    </w:p>
    <w:p>
      <w:pPr>
        <w:spacing w:after="0" w:line="225" w:lineRule="exact"/>
        <w:rPr>
          <w:sz w:val="20"/>
          <w:szCs w:val="20"/>
          <w:color w:val="auto"/>
        </w:rPr>
      </w:pPr>
    </w:p>
    <w:p>
      <w:pPr>
        <w:ind w:left="620" w:hanging="184"/>
        <w:spacing w:after="0"/>
        <w:tabs>
          <w:tab w:leader="none" w:pos="6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Authorized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1.1 The total number of shares of all classes of capital stock that the Corporation has authority to issue is 510,000,000 shares, consisting of two classes: 500,000,000 shares of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10,000,000 shares of Preferred Stock, $0.001 par value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1.2. Irrespective of the provisions of Section 242(b)(2) of the General Corporation Law, but subject to the rights of the holders of any series of Preferred Stock then outstanding, the number of authorized shares of any class or classes of stock may be increased or decreased (but not below the number of shares thereof then outstanding) by a vote of the holders of the stock of the Corporation entitled to vote thereon, voting as a single class.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 For the avoidance of doubt, the Corporation expressly elects to be governed by Section 242(d) of the General Corporation Law.</w:t>
      </w:r>
    </w:p>
    <w:p>
      <w:pPr>
        <w:spacing w:after="0" w:line="221" w:lineRule="exact"/>
        <w:rPr>
          <w:sz w:val="20"/>
          <w:szCs w:val="20"/>
          <w:color w:val="auto"/>
        </w:rPr>
      </w:pPr>
    </w:p>
    <w:p>
      <w:pPr>
        <w:ind w:left="620" w:hanging="184"/>
        <w:spacing w:after="0"/>
        <w:tabs>
          <w:tab w:leader="none" w:pos="6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color w:val="auto"/>
        </w:rPr>
        <w:t>2.1.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is authorized, subject to any limitations prescribed by the laws of the State of Delaware, by resolution or resolutions adopted from time to time, to provide for the issuance of shares of Preferred Stock in one or more series, and, by filing a certificate of designation pursuant to the applicable laws of the State of Delaware (each such certificate, a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 to establish from time to time the number</w:t>
      </w:r>
    </w:p>
    <w:p>
      <w:pPr>
        <w:sectPr>
          <w:pgSz w:w="11900" w:h="16838" w:orient="portrait"/>
          <w:cols w:equalWidth="0" w:num="1">
            <w:col w:w="11020"/>
          </w:cols>
          <w:pgMar w:left="440" w:top="266" w:right="439" w:bottom="1440" w:gutter="0" w:footer="0" w:header="0"/>
        </w:sectPr>
      </w:pPr>
    </w:p>
    <w:bookmarkStart w:id="90" w:name="page91"/>
    <w:bookmarkEnd w:id="90"/>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shares to be included in each such series, to fix the designation, powers (including voting powers), preferences and relative, participating, optional or other special rights (and the qualifications, limitations or restrictions thereof) of the shares of each such series and, except where otherwise provided in the applicable Certificate of Designation, to increase (but not above the total number of authorized shares of the Preferred Stock) or decrease (but not below the number of shares of such series then outstanding) the number of shares of any such series.</w:t>
      </w:r>
    </w:p>
    <w:p>
      <w:pPr>
        <w:spacing w:after="0" w:line="180"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2.2 Except as otherwise expressly provided in this Amended and Restated Certificate of Incorporation (as the same may be amended and/or restated from time to time, including pursuant the terms of any Certificate of Designation designating a series of Preferred Stock, this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 (i) any new series of Preferred Stock may be designated, fixed and determined as provided herein by the Board without approval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Common Stock or the holders of Preferred Stock, or any series thereof, and (ii) any such new series may have powers, preferences and rights, including, without limitation, voting powers, dividend rights, liquidation rights, redemption rights and conversion rights, senior to, junior to or pari passu with the rights of the Common Stock, any series of the Preferred Stock or any future class or series of capital stock of the Corporation.</w:t>
      </w:r>
    </w:p>
    <w:p>
      <w:pPr>
        <w:spacing w:after="0" w:line="183" w:lineRule="exact"/>
        <w:rPr>
          <w:sz w:val="20"/>
          <w:szCs w:val="20"/>
          <w:color w:val="auto"/>
        </w:rPr>
      </w:pPr>
    </w:p>
    <w:p>
      <w:pPr>
        <w:jc w:val="both"/>
        <w:ind w:right="20" w:firstLine="436"/>
        <w:spacing w:after="0" w:line="257" w:lineRule="auto"/>
        <w:tabs>
          <w:tab w:leader="none" w:pos="6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Each outstanding share of Common Stock shall entitle the holder thereof to one vote on each matter properly submitted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of the Corporation for their vote;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except as otherwise required by law or this Certificate of Incorporation, holders of shares of Common Stock shall not be entitled to vote on any amendment to this Certificate of Incorporation (including any Certificate of Designation relating to any series of Preferred Stock) that relates solely to the terms of one or more outstanding class or series of Preferred Stock if the holders of such affected class or series are entitled, either separately or together as a class with the holders of one or more other such class or series, to vote thereon pursuant to this Certificate of Incorporation (including any Certificate of Designation relating to any series of Preferred Stock).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AMENDMENT OF BYLAWS</w:t>
      </w:r>
    </w:p>
    <w:p>
      <w:pPr>
        <w:spacing w:after="0" w:line="229" w:lineRule="exact"/>
        <w:rPr>
          <w:sz w:val="20"/>
          <w:szCs w:val="20"/>
          <w:color w:val="auto"/>
        </w:rPr>
      </w:pPr>
    </w:p>
    <w:p>
      <w:pPr>
        <w:jc w:val="both"/>
        <w:ind w:right="20" w:firstLine="440"/>
        <w:spacing w:after="0" w:line="253" w:lineRule="auto"/>
        <w:rPr>
          <w:sz w:val="20"/>
          <w:szCs w:val="20"/>
          <w:color w:val="auto"/>
        </w:rPr>
      </w:pPr>
      <w:r>
        <w:rPr>
          <w:rFonts w:ascii="Times New Roman" w:cs="Times New Roman" w:eastAsia="Times New Roman" w:hAnsi="Times New Roman"/>
          <w:sz w:val="18"/>
          <w:szCs w:val="18"/>
          <w:color w:val="auto"/>
        </w:rPr>
        <w:t>The Board shall have the power to adopt, amend or repeal the Bylaws of the Corporation (as the same may be amended and/or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Any adoption, amendment or repeal of the Bylaws by the Board shall require the approval of a majority of the total number of authorized directors whether or not there exist any vacancies in previously authorized directorships (the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xml:space="preserve">”). The stockholders shall also have power to adopt, amend or repeal the Bylaws;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except as otherwise provided in this Certificate of Incorporation, and in addition to any requirements of law, the affirmative vote of the holders of at least two-thirds (2/3) of the voting power of all of the then-outstanding shares of the capital stock of the Corporation entitled to vote thereon, voting together as a single class, shall be required for the stockholders to adopt, amend or repeal any provision of the Bylaws;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in the case of any proposed adoption, amendment or repeal of any provision of the Bylaws that is both (i) approved by at least two-thirds (2/3) of the Whole Board and (ii) submitted to the stockholders for adoption thereby, then, except as otherwise provided in this Certificate of Incorporation, only the affirmative vote of the holders of a majority of the voting power of all of the then-outstanding shares of the capital stock of the Corporation entitled to vote thereon, voting</w:t>
      </w:r>
    </w:p>
    <w:p>
      <w:pPr>
        <w:sectPr>
          <w:pgSz w:w="11900" w:h="16838" w:orient="portrait"/>
          <w:cols w:equalWidth="0" w:num="1">
            <w:col w:w="11020"/>
          </w:cols>
          <w:pgMar w:left="440" w:top="270"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together as a single class (in addition to any requirements of law), shall be required to adopt, amend or repeal any such provision of the Bylaws.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MATTERS RELATING TO THE BOARD OF DIRECTORS</w:t>
      </w:r>
    </w:p>
    <w:p>
      <w:pPr>
        <w:spacing w:after="0" w:line="225" w:lineRule="exact"/>
        <w:rPr>
          <w:sz w:val="20"/>
          <w:szCs w:val="20"/>
          <w:color w:val="auto"/>
        </w:rPr>
      </w:pPr>
    </w:p>
    <w:p>
      <w:pPr>
        <w:ind w:right="20" w:firstLine="436"/>
        <w:spacing w:after="0" w:line="286" w:lineRule="auto"/>
        <w:tabs>
          <w:tab w:leader="none" w:pos="6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 Powers</w:t>
      </w:r>
      <w:r>
        <w:rPr>
          <w:rFonts w:ascii="Times New Roman" w:cs="Times New Roman" w:eastAsia="Times New Roman" w:hAnsi="Times New Roman"/>
          <w:sz w:val="18"/>
          <w:szCs w:val="18"/>
          <w:color w:val="auto"/>
        </w:rPr>
        <w:t>. Except as otherwise provided by the General Corporation Law or this Certificate of Incorporation, the business and affairs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be managed by or under the direction of the Board.</w:t>
      </w:r>
    </w:p>
    <w:p>
      <w:pPr>
        <w:spacing w:after="0" w:line="154" w:lineRule="exact"/>
        <w:rPr>
          <w:rFonts w:ascii="Times New Roman" w:cs="Times New Roman" w:eastAsia="Times New Roman" w:hAnsi="Times New Roman"/>
          <w:sz w:val="18"/>
          <w:szCs w:val="18"/>
          <w:b w:val="1"/>
          <w:bCs w:val="1"/>
          <w:color w:val="auto"/>
        </w:rPr>
      </w:pPr>
    </w:p>
    <w:p>
      <w:pPr>
        <w:jc w:val="both"/>
        <w:ind w:firstLine="436"/>
        <w:spacing w:after="0" w:line="268" w:lineRule="auto"/>
        <w:tabs>
          <w:tab w:leader="none" w:pos="6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Number of Directors</w:t>
      </w:r>
      <w:r>
        <w:rPr>
          <w:rFonts w:ascii="Times New Roman" w:cs="Times New Roman" w:eastAsia="Times New Roman" w:hAnsi="Times New Roman"/>
          <w:sz w:val="18"/>
          <w:szCs w:val="18"/>
          <w:color w:val="auto"/>
        </w:rPr>
        <w:t>. Subject to the special rights of the holders of any class or series of Preferred Stock to elect additional directors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circumstances, the total number of directors constituting the Whole Board shall be fixed from time to time exclusively by resolution adopted by the affirmative vote of a majority of the Whole Board.</w:t>
      </w:r>
    </w:p>
    <w:p>
      <w:pPr>
        <w:spacing w:after="0" w:line="170" w:lineRule="exact"/>
        <w:rPr>
          <w:rFonts w:ascii="Times New Roman" w:cs="Times New Roman" w:eastAsia="Times New Roman" w:hAnsi="Times New Roman"/>
          <w:sz w:val="18"/>
          <w:szCs w:val="18"/>
          <w:b w:val="1"/>
          <w:bCs w:val="1"/>
          <w:color w:val="auto"/>
        </w:rPr>
      </w:pPr>
    </w:p>
    <w:p>
      <w:pPr>
        <w:jc w:val="both"/>
        <w:ind w:firstLine="436"/>
        <w:spacing w:after="0" w:line="254" w:lineRule="auto"/>
        <w:tabs>
          <w:tab w:leader="none" w:pos="6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Classified Board</w:t>
      </w:r>
      <w:r>
        <w:rPr>
          <w:rFonts w:ascii="Times New Roman" w:cs="Times New Roman" w:eastAsia="Times New Roman" w:hAnsi="Times New Roman"/>
          <w:sz w:val="18"/>
          <w:szCs w:val="18"/>
          <w:color w:val="auto"/>
        </w:rPr>
        <w:t>. Subject to the special rights of the holders of one or more class or series of Preferred Stock to elect directors, the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divided, with respect to the time for which they severally hold office, into three classes designated as Class I, Class II and Class III, respectively (the “</w:t>
      </w:r>
      <w:r>
        <w:rPr>
          <w:rFonts w:ascii="Times New Roman" w:cs="Times New Roman" w:eastAsia="Times New Roman" w:hAnsi="Times New Roman"/>
          <w:sz w:val="18"/>
          <w:szCs w:val="18"/>
          <w:b w:val="1"/>
          <w:bCs w:val="1"/>
          <w:i w:val="1"/>
          <w:iCs w:val="1"/>
          <w:color w:val="auto"/>
        </w:rPr>
        <w:t>Classified Board</w:t>
      </w:r>
      <w:r>
        <w:rPr>
          <w:rFonts w:ascii="Times New Roman" w:cs="Times New Roman" w:eastAsia="Times New Roman" w:hAnsi="Times New Roman"/>
          <w:sz w:val="18"/>
          <w:szCs w:val="18"/>
          <w:color w:val="auto"/>
        </w:rPr>
        <w:t>”). The Board is authorized to assign members of the Board already in office to such classes of the Classified Board effective at the time the classification of the Board becomes effective. The initial term of office of the Class I directors shall expire at the Corporation’s first annual meeting of stockholders following the registration of shares of Common Stock of the Corporation pursuant to an effective registration statement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covering the distribution of Common Stock to the public (the “</w:t>
      </w:r>
      <w:r>
        <w:rPr>
          <w:rFonts w:ascii="Times New Roman" w:cs="Times New Roman" w:eastAsia="Times New Roman" w:hAnsi="Times New Roman"/>
          <w:sz w:val="18"/>
          <w:szCs w:val="18"/>
          <w:b w:val="1"/>
          <w:bCs w:val="1"/>
          <w:i w:val="1"/>
          <w:iCs w:val="1"/>
          <w:color w:val="auto"/>
        </w:rPr>
        <w:t>Initial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the initial term of office of the Class II directors shall expire at the Corporation’s second annual meeting of stockholders following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 Public Distribution, and the initial term of office of the Class III directors shall expire at the Corporation’s third annual meeting of stockholders following the Initial Public Distribution. At each succeeding annual meeting of stockholders following the Initial Public Distribution, directors elected to succeed those directors of the class whose terms then expire shall be elected for a term of office expiring at the third succeeding annual meeting of stockholders after their election.</w:t>
      </w:r>
    </w:p>
    <w:p>
      <w:pPr>
        <w:spacing w:after="0" w:line="182" w:lineRule="exact"/>
        <w:rPr>
          <w:rFonts w:ascii="Times New Roman" w:cs="Times New Roman" w:eastAsia="Times New Roman" w:hAnsi="Times New Roman"/>
          <w:sz w:val="18"/>
          <w:szCs w:val="18"/>
          <w:b w:val="1"/>
          <w:bCs w:val="1"/>
          <w:color w:val="auto"/>
        </w:rPr>
      </w:pPr>
    </w:p>
    <w:p>
      <w:pPr>
        <w:jc w:val="both"/>
        <w:ind w:right="20" w:firstLine="436"/>
        <w:spacing w:after="0" w:line="257" w:lineRule="auto"/>
        <w:tabs>
          <w:tab w:leader="none" w:pos="6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Removal</w:t>
      </w:r>
      <w:r>
        <w:rPr>
          <w:rFonts w:ascii="Times New Roman" w:cs="Times New Roman" w:eastAsia="Times New Roman" w:hAnsi="Times New Roman"/>
          <w:sz w:val="18"/>
          <w:szCs w:val="18"/>
          <w:color w:val="auto"/>
        </w:rPr>
        <w:t>. Each director shall hold office until such director’s successor is duly elected and qualified, or until such director’s earlier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death, resignation, disqualification or removal. Any director may resign at any time upon notice to the Corporation given in writing or by any electronic transmission. Subject to the special rights of the holders of any class or series of Preferred Stock, no director may be removed from the Board except for cause and only by the affirmative vote of the holders of at least two-thirds (2/3) of the voting power of all of the then-outstanding shares of capital stock of the Corporation entitled to vote generally in the election of directors, voting together as a single class. No decrease in the number of directors constituting the Board shall shorten the term of any director.</w:t>
      </w:r>
    </w:p>
    <w:p>
      <w:pPr>
        <w:spacing w:after="0" w:line="182" w:lineRule="exact"/>
        <w:rPr>
          <w:rFonts w:ascii="Times New Roman" w:cs="Times New Roman" w:eastAsia="Times New Roman" w:hAnsi="Times New Roman"/>
          <w:sz w:val="18"/>
          <w:szCs w:val="18"/>
          <w:b w:val="1"/>
          <w:bCs w:val="1"/>
          <w:color w:val="auto"/>
        </w:rPr>
      </w:pPr>
    </w:p>
    <w:p>
      <w:pPr>
        <w:jc w:val="both"/>
        <w:ind w:right="20" w:firstLine="436"/>
        <w:spacing w:after="0" w:line="262" w:lineRule="auto"/>
        <w:tabs>
          <w:tab w:leader="none" w:pos="6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Board Vacancies and Newly Created Directorships</w:t>
      </w:r>
      <w:r>
        <w:rPr>
          <w:rFonts w:ascii="Times New Roman" w:cs="Times New Roman" w:eastAsia="Times New Roman" w:hAnsi="Times New Roman"/>
          <w:sz w:val="18"/>
          <w:szCs w:val="18"/>
          <w:color w:val="auto"/>
        </w:rPr>
        <w:t>. Subject to the special rights of the holders of any class or series of Preferred Stock,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vacancy occurring in the Board for any cause, and any newly created directorship resulting from any increase in the authorized number of directors, shall be filled only by the affirmative vote of a majority of the directors then in office, even if less than a quorum, or by a sole remaining director, and shall not be filled by the stockholders. Any director elected in accordance with the preceding sentence shall hold office for</w:t>
      </w:r>
    </w:p>
    <w:p>
      <w:pPr>
        <w:sectPr>
          <w:pgSz w:w="11900" w:h="16838" w:orient="portrait"/>
          <w:cols w:equalWidth="0" w:num="1">
            <w:col w:w="11020"/>
          </w:cols>
          <w:pgMar w:left="440" w:top="270" w:right="439" w:bottom="1440" w:gutter="0" w:footer="0" w:header="0"/>
        </w:sectPr>
      </w:pPr>
    </w:p>
    <w:bookmarkStart w:id="92" w:name="page93"/>
    <w:bookmarkEnd w:id="92"/>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remainder of the term of the class of director in which the vacancy or new directorship was created. and shall hold office until such director’s successor shall have been duly elected and qualified, or until such director’s earlier death, resignation, disqualification or removal.</w:t>
      </w:r>
    </w:p>
    <w:p>
      <w:pPr>
        <w:spacing w:after="0" w:line="158" w:lineRule="exact"/>
        <w:rPr>
          <w:sz w:val="20"/>
          <w:szCs w:val="20"/>
          <w:color w:val="auto"/>
        </w:rPr>
      </w:pPr>
    </w:p>
    <w:p>
      <w:pPr>
        <w:jc w:val="both"/>
        <w:ind w:firstLine="436"/>
        <w:spacing w:after="0" w:line="257" w:lineRule="auto"/>
        <w:tabs>
          <w:tab w:leader="none" w:pos="6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Determination of Ambiguity</w:t>
      </w:r>
      <w:r>
        <w:rPr>
          <w:rFonts w:ascii="Times New Roman" w:cs="Times New Roman" w:eastAsia="Times New Roman" w:hAnsi="Times New Roman"/>
          <w:sz w:val="18"/>
          <w:szCs w:val="18"/>
          <w:color w:val="auto"/>
        </w:rPr>
        <w:t>. In case of an ambiguity in the application of any provision set forth in Sections 2, 3, 4, 5 or 6 of this Article 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the meaning of any term or definition set forth in this Sections 2, 3, 4, 5 or 6 of this Article VI (including any such term used in any other provision of this Certificate of Incorporation), the Board, or a committee thereof, shall have the power to determine, in good faith, the application of any such provision or any such term or definition. Such determination shall be evidenced in a writing adopted by the Board (or a committee thereof, as applicable), and such writing shall be made available for inspection by any holder of capital stock of the Corporation at the principal executive offices of the Corporation.</w:t>
      </w:r>
    </w:p>
    <w:p>
      <w:pPr>
        <w:spacing w:after="0" w:line="182"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Vote by Ballot</w:t>
      </w:r>
      <w:r>
        <w:rPr>
          <w:rFonts w:ascii="Times New Roman" w:cs="Times New Roman" w:eastAsia="Times New Roman" w:hAnsi="Times New Roman"/>
          <w:sz w:val="18"/>
          <w:szCs w:val="18"/>
          <w:color w:val="auto"/>
        </w:rPr>
        <w:t>. Election of directors need not be by written ballot unless the Bylaws shall so provide.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 DIRECTOR AND OFFICER LIABILITY</w:t>
      </w:r>
    </w:p>
    <w:p>
      <w:pPr>
        <w:spacing w:after="0" w:line="225" w:lineRule="exact"/>
        <w:rPr>
          <w:sz w:val="20"/>
          <w:szCs w:val="20"/>
          <w:color w:val="auto"/>
        </w:rPr>
      </w:pPr>
    </w:p>
    <w:p>
      <w:pPr>
        <w:jc w:val="both"/>
        <w:ind w:right="20" w:firstLine="436"/>
        <w:spacing w:after="0" w:line="259" w:lineRule="auto"/>
        <w:tabs>
          <w:tab w:leader="none" w:pos="6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To the fullest extent permitted by law, neither a director of the Corporation nor an officer of the Corporation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personally liable to the Corporation or its stockholders for monetary damages for breach of fiduciary duty as a director or officer, as applicable. Without limiting the effect of the preceding sentence, if the General Corporation Law is hereafter amended to authorize the further elimination or limitation of the liability of a director or officer, then the liability of a director or officer of the Corporation shall be eliminated or limited to the fullest extent permitted by the General Corporation Law, as so amended.</w:t>
      </w:r>
    </w:p>
    <w:p>
      <w:pPr>
        <w:spacing w:after="0" w:line="179" w:lineRule="exact"/>
        <w:rPr>
          <w:rFonts w:ascii="Times New Roman" w:cs="Times New Roman" w:eastAsia="Times New Roman" w:hAnsi="Times New Roman"/>
          <w:sz w:val="18"/>
          <w:szCs w:val="18"/>
          <w:b w:val="1"/>
          <w:bCs w:val="1"/>
          <w:color w:val="auto"/>
        </w:rPr>
      </w:pPr>
    </w:p>
    <w:p>
      <w:pPr>
        <w:jc w:val="both"/>
        <w:ind w:firstLine="436"/>
        <w:spacing w:after="0" w:line="268" w:lineRule="auto"/>
        <w:tabs>
          <w:tab w:leader="none" w:pos="6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in Rights</w:t>
      </w:r>
      <w:r>
        <w:rPr>
          <w:rFonts w:ascii="Times New Roman" w:cs="Times New Roman" w:eastAsia="Times New Roman" w:hAnsi="Times New Roman"/>
          <w:sz w:val="18"/>
          <w:szCs w:val="18"/>
          <w:color w:val="auto"/>
        </w:rPr>
        <w:t>. Neither any amendment nor repeal of this Article VII, nor the adoption of any provision of this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MATTERS RELATING TO STOCKHOLDERS</w:t>
      </w:r>
    </w:p>
    <w:p>
      <w:pPr>
        <w:spacing w:after="0" w:line="225" w:lineRule="exact"/>
        <w:rPr>
          <w:sz w:val="20"/>
          <w:szCs w:val="20"/>
          <w:color w:val="auto"/>
        </w:rPr>
      </w:pPr>
    </w:p>
    <w:p>
      <w:pPr>
        <w:jc w:val="both"/>
        <w:ind w:right="20" w:firstLine="436"/>
        <w:spacing w:after="0" w:line="268" w:lineRule="auto"/>
        <w:tabs>
          <w:tab w:leader="none" w:pos="634"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Action by Written Consent of Stockholders</w:t>
      </w:r>
      <w:r>
        <w:rPr>
          <w:rFonts w:ascii="Times New Roman" w:cs="Times New Roman" w:eastAsia="Times New Roman" w:hAnsi="Times New Roman"/>
          <w:sz w:val="18"/>
          <w:szCs w:val="18"/>
          <w:color w:val="auto"/>
        </w:rPr>
        <w:t>. Subject to the rights of any series of Preferred Stock then outstanding, no action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by the stockholders of the Corporation except at a duly called annual or special meeting of stockholders and no action shall be taken by the stockholders of the Corporation by written consent in lieu of a meeting.</w:t>
      </w:r>
    </w:p>
    <w:p>
      <w:pPr>
        <w:spacing w:after="0" w:line="170" w:lineRule="exact"/>
        <w:rPr>
          <w:rFonts w:ascii="Times New Roman" w:cs="Times New Roman" w:eastAsia="Times New Roman" w:hAnsi="Times New Roman"/>
          <w:sz w:val="18"/>
          <w:szCs w:val="18"/>
          <w:b w:val="1"/>
          <w:bCs w:val="1"/>
          <w:color w:val="auto"/>
        </w:rPr>
      </w:pPr>
    </w:p>
    <w:p>
      <w:pPr>
        <w:jc w:val="both"/>
        <w:ind w:right="20" w:firstLine="436"/>
        <w:spacing w:after="0" w:line="268" w:lineRule="auto"/>
        <w:tabs>
          <w:tab w:leader="none" w:pos="6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Special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stockholders of the Corporation may be called only by the Chairperson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of the Corporation, the Lead Independent Director (as defined in the Bylaws), or the Board acting pursuant to a resolution adopted by a majority of the Whole Board and may not be called by the stockholders or any other person or persons.</w:t>
      </w:r>
    </w:p>
    <w:p>
      <w:pPr>
        <w:spacing w:after="0" w:line="170" w:lineRule="exact"/>
        <w:rPr>
          <w:rFonts w:ascii="Times New Roman" w:cs="Times New Roman" w:eastAsia="Times New Roman" w:hAnsi="Times New Roman"/>
          <w:sz w:val="18"/>
          <w:szCs w:val="18"/>
          <w:b w:val="1"/>
          <w:bCs w:val="1"/>
          <w:color w:val="auto"/>
        </w:rPr>
      </w:pPr>
    </w:p>
    <w:p>
      <w:pPr>
        <w:ind w:right="20" w:firstLine="436"/>
        <w:spacing w:after="0" w:line="286" w:lineRule="auto"/>
        <w:tabs>
          <w:tab w:leader="none" w:pos="634"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Advance Notice of Stockholder Nominations at Annual or Special Meetings and Business Transacted at Special Meetings</w:t>
      </w:r>
      <w:r>
        <w:rPr>
          <w:rFonts w:ascii="Times New Roman" w:cs="Times New Roman" w:eastAsia="Times New Roman" w:hAnsi="Times New Roman"/>
          <w:sz w:val="18"/>
          <w:szCs w:val="18"/>
          <w:color w:val="auto"/>
        </w:rPr>
        <w:t>.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stockholder nominations for the</w:t>
      </w:r>
    </w:p>
    <w:p>
      <w:pPr>
        <w:sectPr>
          <w:pgSz w:w="11900" w:h="16838" w:orient="portrait"/>
          <w:cols w:equalWidth="0" w:num="1">
            <w:col w:w="11020"/>
          </w:cols>
          <w:pgMar w:left="440" w:top="270" w:right="439" w:bottom="1440" w:gutter="0" w:footer="0" w:header="0"/>
        </w:sectPr>
      </w:pPr>
    </w:p>
    <w:bookmarkStart w:id="93" w:name="page94"/>
    <w:bookmarkEnd w:id="9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 of directors of the Corporation at, and of business to be brought by stockholders before, any annual or special meeting of stockholders of the Corporation shall be given in the manner provided in the Bylaws. Business transacted at special meetings of stockholders shall be limited to the purpose or purposes stated in the notice of meeting.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SEVERABILITY</w:t>
      </w:r>
    </w:p>
    <w:p>
      <w:pPr>
        <w:spacing w:after="0" w:line="12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AMENDMENT OF CERTIFICATE OF INCORPORATION</w:t>
      </w:r>
    </w:p>
    <w:p>
      <w:pPr>
        <w:spacing w:after="0" w:line="229"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except as otherwise provided in this Certificate of Incorporation, and in addition to any other vote required by law, the affirmative vote of the holders of at least two-thirds (2/3) of the voting power of all of the then-outstanding shares of the capital stock of the Corporation entitled to vote thereon, voting together as a single class, shall be required to amend or repeal, or adopt any provision inconsistent with this Certificate of Incorporation (other than Section 1.1 of Article IV);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if two-thirds (2/3) of the Whole Board has approved such amendment or repeal of, or adoption of any provision inconsistent with, the provisions of this Certificate of Incorporation, then, except as otherwise provided in this Certificate of Incorporation, only the affirmative vote of the holders of a majority of the voting power of all of the then-outstanding shares of the capital stock of the Corporation entitled to vote thereon, voting together as a single class (in addition to any other vote required by law), shall be required to approve such amendment or repeal of, or adoption of any provision inconsistent with, the provisions of this Certificate of Incorporation.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 * * * * * *</w:t>
      </w:r>
    </w:p>
    <w:p>
      <w:pPr>
        <w:sectPr>
          <w:pgSz w:w="11900" w:h="16838" w:orient="portrait"/>
          <w:cols w:equalWidth="0" w:num="1">
            <w:col w:w="11020"/>
          </w:cols>
          <w:pgMar w:left="440" w:top="270" w:right="4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FIRST TRACKS BIOTHERAPEUTICS, INC.,</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u w:val="single" w:color="auto"/>
          <w:color w:val="auto"/>
        </w:rPr>
        <w:t>BYLAWS</w:t>
      </w:r>
    </w:p>
    <w:p>
      <w:pPr>
        <w:spacing w:after="0" w:line="22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As Adopted on 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231775</wp:posOffset>
            </wp:positionV>
            <wp:extent cx="6995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95" w:name="page96"/>
    <w:bookmarkEnd w:id="95"/>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TRACKS BIOTHERAPEUTICS, INC.,</w:t>
      </w:r>
    </w:p>
    <w:p>
      <w:pPr>
        <w:spacing w:after="0" w:line="12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1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BYLAWS</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 - MEETINGS OF STOCKHOLDERS</w:t>
      </w:r>
    </w:p>
    <w:p>
      <w:pPr>
        <w:spacing w:after="0" w:line="121"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color w:val="auto"/>
        </w:rPr>
        <w:t>Annual Meetings</w:t>
      </w:r>
    </w:p>
    <w:p>
      <w:pPr>
        <w:spacing w:after="0" w:line="27"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color w:val="auto"/>
        </w:rPr>
        <w:t>Special Meetings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1.3:</w:t>
        <w:tab/>
        <w:t>Notice of Stockholders’ Meetings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1.4:</w:t>
        <w:tab/>
        <w:t>Adjournments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1.5:</w:t>
        <w:tab/>
        <w:t>Quorum</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1.6:</w:t>
        <w:tab/>
        <w:t>Organization</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7"/>
          <w:szCs w:val="17"/>
          <w:color w:val="auto"/>
        </w:rPr>
        <w:t>Voting; Proxies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1.8:</w:t>
        <w:tab/>
        <w:t>Fixing Date for Determination of Stockholders of Record</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1.9:</w:t>
      </w:r>
      <w:r>
        <w:rPr>
          <w:sz w:val="20"/>
          <w:szCs w:val="20"/>
          <w:color w:val="auto"/>
        </w:rPr>
        <w:tab/>
      </w:r>
      <w:r>
        <w:rPr>
          <w:rFonts w:ascii="Times New Roman" w:cs="Times New Roman" w:eastAsia="Times New Roman" w:hAnsi="Times New Roman"/>
          <w:sz w:val="17"/>
          <w:szCs w:val="17"/>
          <w:color w:val="auto"/>
        </w:rPr>
        <w:t>List of Stockholders Entitled to Vote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Section 1.10:  Inspectors of Elections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7"/>
          <w:szCs w:val="17"/>
          <w:color w:val="auto"/>
        </w:rPr>
        <w:t>Conduct of Meetings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Section 1.12:  Advance Notice Procedures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 - BOARD OF DIRECTORS</w:t>
      </w:r>
    </w:p>
    <w:p>
      <w:pPr>
        <w:spacing w:after="0" w:line="121"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color w:val="auto"/>
        </w:rPr>
        <w:t>Number; Qualifications</w:t>
      </w:r>
    </w:p>
    <w:p>
      <w:pPr>
        <w:spacing w:after="0" w:line="27"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color w:val="auto"/>
        </w:rPr>
        <w:t>Election; Resignation; Removal; Vacancies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color w:val="auto"/>
        </w:rPr>
        <w:t>Regular Meetings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color w:val="auto"/>
        </w:rPr>
        <w:t>Special Meetings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color w:val="auto"/>
        </w:rPr>
        <w:t>Remote Meetings Permitted</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color w:val="auto"/>
        </w:rPr>
        <w:t>Quorum; Vote Required for Action</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2.7:</w:t>
        <w:tab/>
        <w:t>Organization</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7"/>
          <w:szCs w:val="17"/>
          <w:color w:val="auto"/>
        </w:rPr>
        <w:t>Unanimous Action by Directors in Lieu of a Meeting</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2.9:</w:t>
        <w:tab/>
        <w:t>Powers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Section 2.10:  Compensation of Directors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2.11:</w:t>
        <w:tab/>
        <w:t>Confidentiality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Section 2.12:  Emergency Bylaws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III - COMMITTEES</w:t>
      </w:r>
    </w:p>
    <w:p>
      <w:pPr>
        <w:spacing w:after="0" w:line="121"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3.1:</w:t>
        <w:tab/>
        <w:t>Committees</w:t>
      </w:r>
    </w:p>
    <w:p>
      <w:pPr>
        <w:spacing w:after="0" w:line="27"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3.2:</w:t>
        <w:tab/>
        <w:t>Committee Rules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IV - OFFICERS; CHAIRPERSON; LEAD INDEPENDENT DIRECTOR</w:t>
      </w:r>
    </w:p>
    <w:p>
      <w:pPr>
        <w:spacing w:after="0" w:line="121"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color w:val="auto"/>
        </w:rPr>
        <w:t>Generally</w:t>
      </w:r>
    </w:p>
    <w:p>
      <w:pPr>
        <w:spacing w:after="0" w:line="27"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7"/>
          <w:szCs w:val="17"/>
          <w:color w:val="auto"/>
        </w:rPr>
        <w:t>Chairperson of the Board</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4.4:</w:t>
        <w:tab/>
        <w:t>Lead Independent Director</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4.5:</w:t>
        <w:tab/>
        <w:t>President</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4.6:</w:t>
      </w:r>
      <w:r>
        <w:rPr>
          <w:sz w:val="20"/>
          <w:szCs w:val="20"/>
          <w:color w:val="auto"/>
        </w:rPr>
        <w:tab/>
      </w:r>
      <w:r>
        <w:rPr>
          <w:rFonts w:ascii="Times New Roman" w:cs="Times New Roman" w:eastAsia="Times New Roman" w:hAnsi="Times New Roman"/>
          <w:sz w:val="17"/>
          <w:szCs w:val="17"/>
          <w:color w:val="auto"/>
        </w:rPr>
        <w:t>Chief Financial Officer</w:t>
      </w:r>
    </w:p>
    <w:p>
      <w:pPr>
        <w:sectPr>
          <w:pgSz w:w="11900" w:h="16838" w:orient="portrait"/>
          <w:cols w:equalWidth="0" w:num="1">
            <w:col w:w="10019"/>
          </w:cols>
          <w:pgMar w:left="440" w:top="266" w:right="1440" w:bottom="1440" w:gutter="0" w:footer="0" w:header="0"/>
        </w:sectPr>
      </w:pPr>
    </w:p>
    <w:bookmarkStart w:id="96" w:name="page97"/>
    <w:bookmarkEnd w:id="96"/>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4.7:</w:t>
      </w:r>
      <w:r>
        <w:rPr>
          <w:sz w:val="20"/>
          <w:szCs w:val="20"/>
          <w:color w:val="auto"/>
        </w:rPr>
        <w:tab/>
      </w:r>
      <w:r>
        <w:rPr>
          <w:rFonts w:ascii="Times New Roman" w:cs="Times New Roman" w:eastAsia="Times New Roman" w:hAnsi="Times New Roman"/>
          <w:sz w:val="17"/>
          <w:szCs w:val="17"/>
          <w:color w:val="auto"/>
        </w:rPr>
        <w:t>Treasurer</w:t>
      </w:r>
    </w:p>
    <w:p>
      <w:pPr>
        <w:spacing w:after="0" w:line="27"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4.8:</w:t>
      </w:r>
      <w:r>
        <w:rPr>
          <w:sz w:val="20"/>
          <w:szCs w:val="20"/>
          <w:color w:val="auto"/>
        </w:rPr>
        <w:tab/>
      </w:r>
      <w:r>
        <w:rPr>
          <w:rFonts w:ascii="Times New Roman" w:cs="Times New Roman" w:eastAsia="Times New Roman" w:hAnsi="Times New Roman"/>
          <w:sz w:val="17"/>
          <w:szCs w:val="17"/>
          <w:color w:val="auto"/>
        </w:rPr>
        <w:t>Vice President</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4.9:</w:t>
        <w:tab/>
        <w:t>Secretary</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Section 4.10:  Delegation of Authority</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4.11:</w:t>
        <w:tab/>
        <w:t>Removal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 - STOCK</w:t>
      </w:r>
    </w:p>
    <w:p>
      <w:pPr>
        <w:spacing w:after="0" w:line="121"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5.l:</w:t>
        <w:tab/>
        <w:t>Certificates; Uncertificated Shares</w:t>
      </w:r>
    </w:p>
    <w:p>
      <w:pPr>
        <w:spacing w:after="0" w:line="27"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color w:val="auto"/>
        </w:rPr>
        <w:t>Lost, Stolen or Destroyed Stock Certificates; Issuance of New Certificates or Uncertificated Shares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5.3:</w:t>
        <w:tab/>
        <w:t>Other Regulations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 - INDEMNIFICATION</w:t>
      </w:r>
    </w:p>
    <w:p>
      <w:pPr>
        <w:spacing w:after="0" w:line="121"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6.1:</w:t>
        <w:tab/>
        <w:t>Indemnification of Officers and Directors</w:t>
      </w:r>
    </w:p>
    <w:p>
      <w:pPr>
        <w:spacing w:after="0" w:line="27"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color w:val="auto"/>
        </w:rPr>
        <w:t>Advancement of Expenses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7"/>
          <w:szCs w:val="17"/>
          <w:color w:val="auto"/>
        </w:rPr>
        <w:t>Non-Exclusivity of Rights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7"/>
          <w:szCs w:val="17"/>
          <w:color w:val="auto"/>
        </w:rPr>
        <w:t>Indemnification of Others and Additional Rights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6.5:</w:t>
      </w:r>
      <w:r>
        <w:rPr>
          <w:sz w:val="20"/>
          <w:szCs w:val="20"/>
          <w:color w:val="auto"/>
        </w:rPr>
        <w:tab/>
      </w:r>
      <w:r>
        <w:rPr>
          <w:rFonts w:ascii="Times New Roman" w:cs="Times New Roman" w:eastAsia="Times New Roman" w:hAnsi="Times New Roman"/>
          <w:sz w:val="17"/>
          <w:szCs w:val="17"/>
          <w:color w:val="auto"/>
        </w:rPr>
        <w:t>Right of Indemnitee to Bring Suit</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6.6:</w:t>
      </w:r>
      <w:r>
        <w:rPr>
          <w:sz w:val="20"/>
          <w:szCs w:val="20"/>
          <w:color w:val="auto"/>
        </w:rPr>
        <w:tab/>
      </w:r>
      <w:r>
        <w:rPr>
          <w:rFonts w:ascii="Times New Roman" w:cs="Times New Roman" w:eastAsia="Times New Roman" w:hAnsi="Times New Roman"/>
          <w:sz w:val="17"/>
          <w:szCs w:val="17"/>
          <w:color w:val="auto"/>
        </w:rPr>
        <w:t>Nature of Rights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6.7:</w:t>
      </w:r>
      <w:r>
        <w:rPr>
          <w:sz w:val="20"/>
          <w:szCs w:val="20"/>
          <w:color w:val="auto"/>
        </w:rPr>
        <w:tab/>
      </w:r>
      <w:r>
        <w:rPr>
          <w:rFonts w:ascii="Times New Roman" w:cs="Times New Roman" w:eastAsia="Times New Roman" w:hAnsi="Times New Roman"/>
          <w:sz w:val="17"/>
          <w:szCs w:val="17"/>
          <w:color w:val="auto"/>
        </w:rPr>
        <w:t>Amendment or Repeal</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6.8:</w:t>
        <w:tab/>
        <w:t>Insurance</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6.9:</w:t>
        <w:tab/>
        <w:t>Indemnification for Successful Defense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VII - NOTICES</w:t>
      </w:r>
    </w:p>
    <w:p>
      <w:pPr>
        <w:spacing w:after="0" w:line="121"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7.l:</w:t>
        <w:tab/>
        <w:t>Notice</w:t>
      </w:r>
    </w:p>
    <w:p>
      <w:pPr>
        <w:spacing w:after="0" w:line="27"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color w:val="auto"/>
        </w:rPr>
        <w:t>Waiver of Notice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VIII – MISCELLANEOUS</w:t>
      </w:r>
    </w:p>
    <w:p>
      <w:pPr>
        <w:spacing w:after="0" w:line="121"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color w:val="auto"/>
        </w:rPr>
        <w:t>Fiscal Year</w:t>
      </w:r>
    </w:p>
    <w:p>
      <w:pPr>
        <w:spacing w:after="0" w:line="27"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8.2:</w:t>
        <w:tab/>
        <w:t>Seal</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7"/>
          <w:szCs w:val="17"/>
          <w:color w:val="auto"/>
        </w:rPr>
        <w:t>Form of Records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8.4:</w:t>
      </w:r>
      <w:r>
        <w:rPr>
          <w:sz w:val="20"/>
          <w:szCs w:val="20"/>
          <w:color w:val="auto"/>
        </w:rPr>
        <w:tab/>
      </w:r>
      <w:r>
        <w:rPr>
          <w:rFonts w:ascii="Times New Roman" w:cs="Times New Roman" w:eastAsia="Times New Roman" w:hAnsi="Times New Roman"/>
          <w:sz w:val="17"/>
          <w:szCs w:val="17"/>
          <w:color w:val="auto"/>
        </w:rPr>
        <w:t>Reliance Upon Books and Records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8.5:</w:t>
        <w:tab/>
        <w:t>Certificate of Incorporation Governs</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8.6:</w:t>
        <w:tab/>
        <w:t>Severability</w:t>
      </w:r>
    </w:p>
    <w:p>
      <w:pPr>
        <w:spacing w:after="0" w:line="9" w:lineRule="exact"/>
        <w:rPr>
          <w:sz w:val="20"/>
          <w:szCs w:val="20"/>
          <w:color w:val="auto"/>
        </w:rPr>
      </w:pPr>
    </w:p>
    <w:p>
      <w:pPr>
        <w:ind w:left="360"/>
        <w:spacing w:after="0"/>
        <w:tabs>
          <w:tab w:leader="none" w:pos="1420" w:val="left"/>
        </w:tabs>
        <w:rPr>
          <w:sz w:val="20"/>
          <w:szCs w:val="20"/>
          <w:color w:val="auto"/>
        </w:rPr>
      </w:pPr>
      <w:r>
        <w:rPr>
          <w:rFonts w:ascii="Times New Roman" w:cs="Times New Roman" w:eastAsia="Times New Roman" w:hAnsi="Times New Roman"/>
          <w:sz w:val="18"/>
          <w:szCs w:val="18"/>
          <w:color w:val="auto"/>
        </w:rPr>
        <w:t>Section 8.7:</w:t>
      </w:r>
      <w:r>
        <w:rPr>
          <w:sz w:val="20"/>
          <w:szCs w:val="20"/>
          <w:color w:val="auto"/>
        </w:rPr>
        <w:tab/>
      </w:r>
      <w:r>
        <w:rPr>
          <w:rFonts w:ascii="Times New Roman" w:cs="Times New Roman" w:eastAsia="Times New Roman" w:hAnsi="Times New Roman"/>
          <w:sz w:val="17"/>
          <w:szCs w:val="17"/>
          <w:color w:val="auto"/>
        </w:rPr>
        <w:t>Time Periods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IX – AMENDMENT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X – CHOICE OF FORUM; EXCLUSIVE FORUM</w:t>
      </w:r>
    </w:p>
    <w:p>
      <w:pPr>
        <w:sectPr>
          <w:pgSz w:w="11900" w:h="16838" w:orient="portrait"/>
          <w:cols w:equalWidth="0" w:num="1">
            <w:col w:w="10019"/>
          </w:cols>
          <w:pgMar w:left="440" w:top="270" w:right="1440" w:bottom="1440" w:gutter="0" w:footer="0" w:header="0"/>
        </w:sectPr>
      </w:pPr>
    </w:p>
    <w:bookmarkStart w:id="97" w:name="page98"/>
    <w:bookmarkEnd w:id="97"/>
    <w:p>
      <w:pPr>
        <w:ind w:left="36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TRACKS BIOTHERAPEUTICS, INC.,</w:t>
      </w:r>
    </w:p>
    <w:p>
      <w:pPr>
        <w:spacing w:after="0" w:line="1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1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u w:val="single" w:color="auto"/>
          <w:color w:val="auto"/>
        </w:rPr>
        <w:t>BYLAWS</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Adopted March 26, 2026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Effective April 20, 2026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 MEETINGS OF STOCKHOLDERS</w:t>
      </w:r>
    </w:p>
    <w:p>
      <w:pPr>
        <w:spacing w:after="0" w:line="225"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Annual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required by applicable law, an annual meeting of stockholders shall be held for the election of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proper business at such date and time as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First Tracks Biotherapeutics,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or its designee, shall each year fix. The meeting may be held either at a place, within or without the State of Delaware as permitted by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as the Board, or its designee, shall fix, or solely by means of remote communication as the Board in its sole discretion may determine. Any proper business may be transacted at the annual meeting.</w:t>
      </w:r>
    </w:p>
    <w:p>
      <w:pPr>
        <w:spacing w:after="0" w:line="179"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stockholders for any purpose or purposes shall be called in the manner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Certificate of Incorporation of the Corporation (as the same may be amended and/or restated from time to time, the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Incorporation</w:t>
      </w:r>
      <w:r>
        <w:rPr>
          <w:rFonts w:ascii="Times New Roman" w:cs="Times New Roman" w:eastAsia="Times New Roman" w:hAnsi="Times New Roman"/>
          <w:sz w:val="18"/>
          <w:szCs w:val="18"/>
          <w:color w:val="auto"/>
        </w:rPr>
        <w:t>”). The special meeting may be held either at a place, within or without the State of Delaware as the Board, or its designee, shall fix,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solely by means of remote communication as the Board in its sole discretion may determine. Business transacted at any special meeting of stockholders shall be limited to matters relating to the purpose or purposes stated in the notice of the meeting.</w:t>
      </w:r>
    </w:p>
    <w:p>
      <w:pPr>
        <w:spacing w:after="0" w:line="179"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Notice of Stockholders’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all meetings of stockholders shall be given in accordance with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as set forth in Section 7.1 of these Bylaws) stating the date, time and place, if any, of the meeting, the means of remote communications, if any, by which stockholders and proxy holders may be deemed to be present in person and vote at such meeting, and the record date for determining the stockholders entitled to vote at the meeting (if such date is different from the record date for determining the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85"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Adjournments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Section1.5 of these Bylaws, the person presiding over the meeting shall have the power to adjourn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meeting to another time, date and place (if any), regardless of whether a quorum is present, at any time and for any reason. Any meeting of stockholders, annual or special, may be adjourned from time to time (including an adjournment taken to address a technical failure to convene or continue a meeting using remote communication), and notice need not be given of any such adjourned meeting if the time, date and place (if any) thereof and the means of remote communication (if any) by which stockholders and proxy holders may be deemed to be present in person and vote at such adjourned meeting are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98" w:name="page99"/>
    <w:bookmarkEnd w:id="98"/>
    <w:p>
      <w:pPr>
        <w:jc w:val="both"/>
        <w:ind w:left="4" w:hanging="4"/>
        <w:spacing w:after="0" w:line="253" w:lineRule="auto"/>
        <w:tabs>
          <w:tab w:leader="none" w:pos="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 new record date for notice of such adjourned meeting in accordance with Section 213(a) of the DGCL and Section 1.3 of these Bylaws,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applicable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186" w:lineRule="exact"/>
        <w:rPr>
          <w:sz w:val="20"/>
          <w:szCs w:val="20"/>
          <w:color w:val="auto"/>
        </w:rPr>
      </w:pPr>
    </w:p>
    <w:p>
      <w:pPr>
        <w:jc w:val="both"/>
        <w:ind w:left="4" w:firstLine="44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required by applicable law, the Certificate of Incorporation, these Bylaws or the rules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stock exchange on which the Corporation’s securities are listed, at each meeting of stockholders the holders of a majority of the voting power of the shares of stock issued and outstanding and entitled to vote at the meeting, present in person or represented by proxy, shall constitute a quorum for the transaction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where a separate vote by a class or classes or series of stock is required by applicable law, the Certificate of Incorporation, these Bylaws or the rules of any applicable stock exchange on which the Corporation’s securities are listed,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person presiding over the meeting or the stockholders, by the affirmative vote of a majority of the votes cast affirmatively or negatively with respect thereto, may adjourn the meeting. A quorum, once established at a meeting, shall not be broken by the withdrawal of enough votes to leave less than a quorum.</w:t>
      </w:r>
    </w:p>
    <w:p>
      <w:pPr>
        <w:spacing w:after="0" w:line="185" w:lineRule="exact"/>
        <w:rPr>
          <w:sz w:val="20"/>
          <w:szCs w:val="20"/>
          <w:color w:val="auto"/>
        </w:rPr>
      </w:pPr>
    </w:p>
    <w:p>
      <w:pPr>
        <w:jc w:val="both"/>
        <w:ind w:left="4" w:right="20" w:firstLine="44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stockholders shall be presided over by (a) such person as the Board may designate, or (b) in the absence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designation,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a Vice President of the Corporation. Such person shall be the person presiding over the meeting. The Secretary of the Corporation (the “</w:t>
      </w:r>
      <w:r>
        <w:rPr>
          <w:rFonts w:ascii="Times New Roman" w:cs="Times New Roman" w:eastAsia="Times New Roman" w:hAnsi="Times New Roman"/>
          <w:sz w:val="18"/>
          <w:szCs w:val="18"/>
          <w:b w:val="1"/>
          <w:bCs w:val="1"/>
          <w:i w:val="1"/>
          <w:iCs w:val="1"/>
          <w:color w:val="auto"/>
        </w:rPr>
        <w:t>Secretary</w:t>
      </w:r>
      <w:r>
        <w:rPr>
          <w:rFonts w:ascii="Times New Roman" w:cs="Times New Roman" w:eastAsia="Times New Roman" w:hAnsi="Times New Roman"/>
          <w:sz w:val="18"/>
          <w:szCs w:val="18"/>
          <w:color w:val="auto"/>
        </w:rPr>
        <w:t>”) shall act as secretary of the meeting, but in such person’s absence the person presiding over the meeting may appoint any person to act as secretary of the meeting.</w:t>
      </w:r>
    </w:p>
    <w:p>
      <w:pPr>
        <w:spacing w:after="0" w:line="182"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Voting; Proxies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stockholder of record entitled to vote at a meeting of stockholders may authorize another person or persons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99" w:name="page100"/>
    <w:bookmarkEnd w:id="99"/>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meeting and entitled to vote on the election of directors. At all meetings of stockholders at which a quorum is present, unless a different or minimum vote is provided by applicable law, rule or regulation applicable to the Corporation or its securities, the rules or regulations of any applicable stock exchange on which the Corporation’s securities are listed, the Certificate of Incorporation or these Bylaws, in which case such different or minimum vote shall be the applicable vote on the matter, every matter other than the election of directors shall be decided by the affirmative vote of a majority of the votes cast affirmatively or negatively with respect thereto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8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exclusive use by the Board.</w:t>
      </w:r>
    </w:p>
    <w:p>
      <w:pPr>
        <w:spacing w:after="0" w:line="158" w:lineRule="exact"/>
        <w:rPr>
          <w:sz w:val="20"/>
          <w:szCs w:val="20"/>
          <w:color w:val="auto"/>
        </w:rPr>
      </w:pPr>
    </w:p>
    <w:p>
      <w:pPr>
        <w:jc w:val="both"/>
        <w:ind w:right="20" w:firstLine="440"/>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Fixing Date for Determination of Stockholders of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that the Corporation may determine the stockholders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 of any meeting of stockholders or any adjournment thereof, the Board may fix a record date, which record date shall not precede the date upon which the resolution fixing the record date is adopted by the Board, and which record date shall, unless otherwise required by applicable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4"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close of business on the day on which the Board adopts the resolution relating thereto.</w:t>
      </w:r>
    </w:p>
    <w:p>
      <w:pPr>
        <w:spacing w:after="0" w:line="179"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List of Stockholders Entitled to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prepare, no later than the tenth (10th) day before each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 complete list of stockholders entitled to vote at the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Nothing in this Section 1.9 shall require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00" w:name="page101"/>
    <w:bookmarkEnd w:id="100"/>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Corporation to include electronic mail addresses or other electronic contact information on such list. Such list shall be open to the examination of any stockholder, for any purpose germane to the meeting, for a period of ten (10) days ending on the day before the meeting date, either (a) on a reasonably accessible electronic network as permitted by applicable law (provided that the information required to gain access to the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applicable law, the stock ledger shall be the only evidence as to who are the stockholders entitled to examine the list of stockholders required by this Section 1.9 or to vote in person or by proxy at any meeting of stockholders.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Section 1.10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Inspectors of Elections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1.10.1 </w:t>
      </w:r>
      <w:r>
        <w:rPr>
          <w:rFonts w:ascii="Times New Roman" w:cs="Times New Roman" w:eastAsia="Times New Roman" w:hAnsi="Times New Roman"/>
          <w:sz w:val="18"/>
          <w:szCs w:val="18"/>
          <w:u w:val="single" w:color="auto"/>
          <w:color w:val="auto"/>
        </w:rPr>
        <w:t>Applicability</w:t>
      </w:r>
      <w:r>
        <w:rPr>
          <w:rFonts w:ascii="Times New Roman" w:cs="Times New Roman" w:eastAsia="Times New Roman" w:hAnsi="Times New Roman"/>
          <w:sz w:val="18"/>
          <w:szCs w:val="18"/>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80"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1.10.2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chairperson of the meeting shall appoint one or more inspectors to act at the meeting.</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1.10.3 </w:t>
      </w:r>
      <w:r>
        <w:rPr>
          <w:rFonts w:ascii="Times New Roman" w:cs="Times New Roman" w:eastAsia="Times New Roman" w:hAnsi="Times New Roman"/>
          <w:sz w:val="18"/>
          <w:szCs w:val="18"/>
          <w:u w:val="single" w:color="auto"/>
          <w:color w:val="auto"/>
        </w:rPr>
        <w:t>Duties of Inspectors</w:t>
      </w:r>
      <w:r>
        <w:rPr>
          <w:rFonts w:ascii="Times New Roman" w:cs="Times New Roman" w:eastAsia="Times New Roman" w:hAnsi="Times New Roman"/>
          <w:sz w:val="18"/>
          <w:szCs w:val="18"/>
          <w:color w:val="auto"/>
        </w:rPr>
        <w:t>. Inspectors of election shall take all actions as contemplated under Section 231 of the DGCL. The inspectors of election shall perform their duties with strict impartiality and according to the best of their ability.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Section 1.11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Conduct of Meetings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or the Board shall determine, (d) restrictions on entry to the meeting after the time fixed for the commencement thereof, (e) limitations on the time allotted to questions or comments by participants, (f) restrictions on the use of audio/video recording devices and cell phones, (g) procedures for complying with any state and local laws and regulations concerning safety and security, (h) procedures (if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01" w:name="page102"/>
    <w:bookmarkEnd w:id="101"/>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requiring attendees to provide the Corporation advance notice of their intent to attend the meeting, and (i) any additional attendance or other procedures or requirements for proponents submitting a proposal pursuant to Rule 14a-8 promulgated under the Exchange Act (defined below). The Board, or, at a meeting of stockholders (but subject to any rules and regulation adopted by, and the supervision of, the Board), the presiding person of the meeting shall, in addition to making any other determinations that may be appropriate to the conduct of the meeting, shall, have the power to determine that a proposed director nomination or business matter was not properly brought before the meeting and to disregard any such nomination or business matter not properly brought before the meeting, notwithstanding that proxies or votes in respect thereof may have been received by the Corporation, which shall be disregarded. Unless and to the extent determined by the Board or the person presiding over the meeting, meetings of stockholders shall not be required to be held in accordance with the rules of parliamentary procedure.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Section 1.12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Advance Notice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1.12.1 </w:t>
      </w:r>
      <w:r>
        <w:rPr>
          <w:rFonts w:ascii="Times New Roman" w:cs="Times New Roman" w:eastAsia="Times New Roman" w:hAnsi="Times New Roman"/>
          <w:sz w:val="18"/>
          <w:szCs w:val="18"/>
          <w:u w:val="single" w:color="auto"/>
          <w:color w:val="auto"/>
        </w:rPr>
        <w:t>Annual Meeting of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4" w:lineRule="auto"/>
        <w:tabs>
          <w:tab w:leader="none" w:pos="1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required by this Section 1.12.1 and at the time of such meeting, who is entitled to vote at such meeting and who complies with the requirements and procedures set forth in this Section 1.12 in all applicable respects (the “</w:t>
      </w:r>
      <w:r>
        <w:rPr>
          <w:rFonts w:ascii="Times New Roman" w:cs="Times New Roman" w:eastAsia="Times New Roman" w:hAnsi="Times New Roman"/>
          <w:sz w:val="18"/>
          <w:szCs w:val="18"/>
          <w:b w:val="1"/>
          <w:bCs w:val="1"/>
          <w:i w:val="1"/>
          <w:iCs w:val="1"/>
          <w:color w:val="auto"/>
        </w:rPr>
        <w:t>Record Stockholder</w:t>
      </w:r>
      <w:r>
        <w:rPr>
          <w:rFonts w:ascii="Times New Roman" w:cs="Times New Roman" w:eastAsia="Times New Roman" w:hAnsi="Times New Roman"/>
          <w:sz w:val="18"/>
          <w:szCs w:val="18"/>
          <w:color w:val="auto"/>
        </w:rPr>
        <w:t>”), or (iv) as may be provided in the certificate of designations for any series of Preferred Stock.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and any successors thereto,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For nominations or other business to be properly brought before an annual meeting by a Record Stockholder (or a Qualified Representative (as defined below) thereof) pursuant to Section 1.12.1(a) of these Bylaws:</w:t>
      </w:r>
    </w:p>
    <w:p>
      <w:pPr>
        <w:spacing w:after="0" w:line="54" w:lineRule="exact"/>
        <w:rPr>
          <w:sz w:val="20"/>
          <w:szCs w:val="20"/>
          <w:color w:val="auto"/>
        </w:rPr>
      </w:pPr>
    </w:p>
    <w:p>
      <w:pPr>
        <w:ind w:left="440" w:right="20" w:firstLine="948"/>
        <w:spacing w:after="0" w:line="282" w:lineRule="auto"/>
        <w:tabs>
          <w:tab w:leader="none" w:pos="161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Stockholder must have given timely notice thereof in writing to the Secretary and provide any updates or supplements to such notice at the times and in the forms required by this Section 1.12.1;</w:t>
      </w:r>
    </w:p>
    <w:p>
      <w:pPr>
        <w:spacing w:after="0" w:line="53" w:lineRule="exact"/>
        <w:rPr>
          <w:rFonts w:ascii="Times New Roman" w:cs="Times New Roman" w:eastAsia="Times New Roman" w:hAnsi="Times New Roman"/>
          <w:sz w:val="18"/>
          <w:szCs w:val="18"/>
          <w:color w:val="auto"/>
        </w:rPr>
      </w:pPr>
    </w:p>
    <w:p>
      <w:pPr>
        <w:ind w:left="440" w:right="20" w:firstLine="948"/>
        <w:spacing w:after="0" w:line="282" w:lineRule="auto"/>
        <w:tabs>
          <w:tab w:leader="none" w:pos="166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business (other than the nomination of persons for election to the Board) must otherwise be a proper matter for stockholder action under Delaware law;</w:t>
      </w:r>
    </w:p>
    <w:p>
      <w:pPr>
        <w:spacing w:after="0" w:line="53" w:lineRule="exact"/>
        <w:rPr>
          <w:rFonts w:ascii="Times New Roman" w:cs="Times New Roman" w:eastAsia="Times New Roman" w:hAnsi="Times New Roman"/>
          <w:sz w:val="18"/>
          <w:szCs w:val="18"/>
          <w:color w:val="auto"/>
        </w:rPr>
      </w:pPr>
    </w:p>
    <w:p>
      <w:pPr>
        <w:jc w:val="both"/>
        <w:ind w:left="440" w:firstLine="948"/>
        <w:spacing w:after="0" w:line="266" w:lineRule="auto"/>
        <w:tabs>
          <w:tab w:leader="none" w:pos="171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Proposing Person (as defined below) shall have complied with the applicable requirements of the Exchange Act (including, without limitation, the applicable requirements of Rule 14a-19) and any Securities and Exchange Commission Staff interpretations relating thereto;</w:t>
      </w:r>
    </w:p>
    <w:p>
      <w:pPr>
        <w:spacing w:after="0" w:line="67" w:lineRule="exact"/>
        <w:rPr>
          <w:rFonts w:ascii="Times New Roman" w:cs="Times New Roman" w:eastAsia="Times New Roman" w:hAnsi="Times New Roman"/>
          <w:sz w:val="18"/>
          <w:szCs w:val="18"/>
          <w:color w:val="auto"/>
        </w:rPr>
      </w:pPr>
    </w:p>
    <w:p>
      <w:pPr>
        <w:jc w:val="both"/>
        <w:ind w:left="440" w:firstLine="948"/>
        <w:spacing w:after="0" w:line="266" w:lineRule="auto"/>
        <w:tabs>
          <w:tab w:leader="none" w:pos="17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proposal other than the nomination of persons for election or reelection to the Board, (A) if a Proposing Person has provided the Corporation with a Solicitation Notice (as defined below), such Proposing Person (or the group of which such Proposing Person is a part) must have delivered, or made available, a proxy statement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02" w:name="page103"/>
    <w:bookmarkEnd w:id="102"/>
    <w:p>
      <w:pPr>
        <w:jc w:val="both"/>
        <w:ind w:left="44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form of proxy to holders of at least the percentage of the voting power of the Corporation’s shares required under applicable law to carry any such proposal and must have included in such materials the Solicitation Notice, or (B) if no Solicitation Notice relating thereto has been timely provided pursuant to this Section 1.12, a Proposing Person (or a group of which a Proposing Person is a part) must not have solicited a number of proxies sufficient to have required the delivery of such a Solicitation Notice under this Section 1.12; and</w:t>
      </w:r>
    </w:p>
    <w:p>
      <w:pPr>
        <w:spacing w:after="0" w:line="180" w:lineRule="exact"/>
        <w:rPr>
          <w:sz w:val="20"/>
          <w:szCs w:val="20"/>
          <w:color w:val="auto"/>
        </w:rPr>
      </w:pPr>
    </w:p>
    <w:p>
      <w:pPr>
        <w:jc w:val="both"/>
        <w:ind w:right="20" w:firstLine="1428"/>
        <w:spacing w:after="0" w:line="261" w:lineRule="auto"/>
        <w:tabs>
          <w:tab w:leader="none" w:pos="1688"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proposal for the nomination of persons for election or reelection to the Board, if the Proposing Person (or a group of which such Proposing Person is a part) provided notice pursuant to Rule 14a-19(b) promulgated under the Exchange Act, such Proposing Person must have delivered to the Secretary, no later than five (5) business days prior to the annual meeting or any adjournment, rescheduling, postponement or other delay thereof, reasonable evidence sufficient to demonstrate that the requirements of Rule 14a-19 have been satisfied.</w:t>
      </w:r>
    </w:p>
    <w:p>
      <w:pPr>
        <w:spacing w:after="0" w:line="179" w:lineRule="exact"/>
        <w:rPr>
          <w:rFonts w:ascii="Times New Roman" w:cs="Times New Roman" w:eastAsia="Times New Roman" w:hAnsi="Times New Roman"/>
          <w:sz w:val="18"/>
          <w:szCs w:val="18"/>
          <w:color w:val="auto"/>
        </w:rPr>
      </w:pPr>
    </w:p>
    <w:p>
      <w:pPr>
        <w:jc w:val="both"/>
        <w:ind w:firstLine="987"/>
        <w:spacing w:after="0" w:line="252" w:lineRule="auto"/>
        <w:tabs>
          <w:tab w:leader="none" w:pos="124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timely, a Record Stockholder’s notice must be delivered to the Secretary at the principal executive offices of the Corporation not later than 5:00 p.m. Eastern Time on the seventy-fifth (75th) day nor earlier than the one hundred and fifth (105th) day prior to the first anniversary of the preceding year’s annual meeting;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the event that the date of the annual meeting is more than thirty (30) days before or more than sixty (60) days after such anniversary date, or if no annual meeting was held in the preceding year, notice by the Record Stockholder to be timely must be so delivered (A) no earlier than the one hundred and fifth (105th) day prior to such annual meeting and (B) no later than 5:00 p.m. Eastern Time on the later of the seventy-fifth (75th) day prior to such annual meeting or the tenth (10th) day following the day on which Public Announcement (as defined below) of the date of such meeting is first made by the Corporation. In no event shall an adjournment, postponement, or rescheduling (or the Public Announcement thereof) of an annual meeting for which notice has been given or a Public Announcement of the meeting date has been made commence a new time period (or extend any time period) for providing the Record Stockholder’s notice. For purposes of this Section 1.12.1, the 2026 annual meeting of stockholders shall be deemed to have been held on June 17, 2026. Notwithstanding anything in this Section 1.12.1 to the contrary, in the event that the number of directors to be elected to the Board at an annual meeting is increased and there is no Public Announcement by the Corporation naming all of the nominees for director or specifying the size of the increased Board made by the Corporation at least ten (10) days prior to the last day a stockholder may deliver a notice in accordance with the first sentence of this paragraph, a stockholder’s notice required by this Section 1.12.1 shall also be considered timely, but only with respect to nominees for any new positions created by such increase, if it shall be delivered to the Secretary at the principal executive offices of the Corporation not later than 5:00 p.m. Eastern Time on the tenth (10th) day following the day on which such Public Announcement is first made by the Corporation.</w:t>
      </w:r>
    </w:p>
    <w:p>
      <w:pPr>
        <w:spacing w:after="0" w:line="194" w:lineRule="exact"/>
        <w:rPr>
          <w:rFonts w:ascii="Times New Roman" w:cs="Times New Roman" w:eastAsia="Times New Roman" w:hAnsi="Times New Roman"/>
          <w:sz w:val="18"/>
          <w:szCs w:val="18"/>
          <w:color w:val="auto"/>
        </w:rPr>
      </w:pPr>
    </w:p>
    <w:p>
      <w:pPr>
        <w:ind w:right="20" w:firstLine="987"/>
        <w:spacing w:after="0" w:line="282" w:lineRule="auto"/>
        <w:tabs>
          <w:tab w:leader="none" w:pos="123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Record Stockholder proposes to nominate for election or reelection as a director, in addition to the matters set forth in paragraph (e) below, such Record Stockholder’s notice shall set forth:</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such proposed nominee;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such proposed nominee;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03" w:name="page104"/>
    <w:bookmarkEnd w:id="103"/>
    <w:p>
      <w:pPr>
        <w:ind w:left="440" w:right="20" w:firstLine="948"/>
        <w:spacing w:after="0" w:line="282" w:lineRule="auto"/>
        <w:tabs>
          <w:tab w:leader="none" w:pos="171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class, series and number of any shares of stock of the Corporation that are beneficially owned or owned of record by such proposed nominee, or his or her respective affiliates and associates;</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such shares were acquired and the investment intent of such acquisition, as well as evidence of such date(s);</w:t>
      </w:r>
    </w:p>
    <w:p>
      <w:pPr>
        <w:spacing w:after="0" w:line="117" w:lineRule="exact"/>
        <w:rPr>
          <w:rFonts w:ascii="Times New Roman" w:cs="Times New Roman" w:eastAsia="Times New Roman" w:hAnsi="Times New Roman"/>
          <w:sz w:val="18"/>
          <w:szCs w:val="18"/>
          <w:color w:val="auto"/>
        </w:rPr>
      </w:pPr>
    </w:p>
    <w:p>
      <w:pPr>
        <w:jc w:val="both"/>
        <w:ind w:left="440" w:right="20" w:firstLine="948"/>
        <w:spacing w:after="0" w:line="266" w:lineRule="auto"/>
        <w:tabs>
          <w:tab w:leader="none" w:pos="166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such proposed nominee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w:t>
      </w:r>
    </w:p>
    <w:p>
      <w:pPr>
        <w:spacing w:after="0" w:line="67" w:lineRule="exact"/>
        <w:rPr>
          <w:rFonts w:ascii="Times New Roman" w:cs="Times New Roman" w:eastAsia="Times New Roman" w:hAnsi="Times New Roman"/>
          <w:sz w:val="18"/>
          <w:szCs w:val="18"/>
          <w:color w:val="auto"/>
        </w:rPr>
      </w:pPr>
    </w:p>
    <w:p>
      <w:pPr>
        <w:ind w:left="440" w:right="20" w:firstLine="948"/>
        <w:spacing w:after="0" w:line="282" w:lineRule="auto"/>
        <w:tabs>
          <w:tab w:leader="none" w:pos="171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proposed nominee would qualify as an independent director under the requirements of the stock exchange upon which the Corporation’s Common Stock is primarily traded and the Policies (as defined below);</w:t>
      </w:r>
    </w:p>
    <w:p>
      <w:pPr>
        <w:spacing w:after="0" w:line="53" w:lineRule="exact"/>
        <w:rPr>
          <w:rFonts w:ascii="Times New Roman" w:cs="Times New Roman" w:eastAsia="Times New Roman" w:hAnsi="Times New Roman"/>
          <w:sz w:val="18"/>
          <w:szCs w:val="18"/>
          <w:color w:val="auto"/>
        </w:rPr>
      </w:pPr>
    </w:p>
    <w:p>
      <w:pPr>
        <w:jc w:val="both"/>
        <w:ind w:left="440" w:right="20" w:firstLine="948"/>
        <w:spacing w:after="0" w:line="256" w:lineRule="auto"/>
        <w:tabs>
          <w:tab w:leader="none" w:pos="175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direct and indirect compensation and other material monetary agreements, arrangements and understandings during the past three (3) years, and any other material relationships, between or among any Proposing Person, on the one hand, and such proposed nominee, and his or her respective affiliates and associates, on the other hand, including, without limitation, all information that would be required to be disclosed pursuant to the U.S. federal securities laws or the rules and regulations promulgated thereunder (including Item 404 promulgated under Regulation S-K) if any Proposing Person were the “registrant” for purposes thereof and the proposed nominee were a director or executive officer of such registrant;</w:t>
      </w:r>
    </w:p>
    <w:p>
      <w:pPr>
        <w:spacing w:after="0" w:line="79" w:lineRule="exact"/>
        <w:rPr>
          <w:rFonts w:ascii="Times New Roman" w:cs="Times New Roman" w:eastAsia="Times New Roman" w:hAnsi="Times New Roman"/>
          <w:sz w:val="18"/>
          <w:szCs w:val="18"/>
          <w:color w:val="auto"/>
        </w:rPr>
      </w:pPr>
    </w:p>
    <w:p>
      <w:pPr>
        <w:ind w:left="440" w:right="20" w:firstLine="948"/>
        <w:spacing w:after="0" w:line="282" w:lineRule="auto"/>
        <w:tabs>
          <w:tab w:leader="none" w:pos="179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of first contact between any Proposing Person and such proposed nominee with respect to (A) the Corporation or (B) any proposed nomination of any person or persons for election or reelection to the Board;</w:t>
      </w:r>
    </w:p>
    <w:p>
      <w:pPr>
        <w:spacing w:after="0" w:line="53" w:lineRule="exact"/>
        <w:rPr>
          <w:rFonts w:ascii="Times New Roman" w:cs="Times New Roman" w:eastAsia="Times New Roman" w:hAnsi="Times New Roman"/>
          <w:sz w:val="18"/>
          <w:szCs w:val="18"/>
          <w:color w:val="auto"/>
        </w:rPr>
      </w:pPr>
    </w:p>
    <w:p>
      <w:pPr>
        <w:ind w:left="440" w:right="20" w:firstLine="948"/>
        <w:spacing w:after="0" w:line="282" w:lineRule="auto"/>
        <w:tabs>
          <w:tab w:leader="none" w:pos="172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position of such proposed nominee as an officer or director of, or any material relationship with, any Competitor (as defined below) within the past three (3) years;</w:t>
      </w:r>
    </w:p>
    <w:p>
      <w:pPr>
        <w:spacing w:after="0" w:line="53" w:lineRule="exact"/>
        <w:rPr>
          <w:rFonts w:ascii="Times New Roman" w:cs="Times New Roman" w:eastAsia="Times New Roman" w:hAnsi="Times New Roman"/>
          <w:sz w:val="18"/>
          <w:szCs w:val="18"/>
          <w:color w:val="auto"/>
        </w:rPr>
      </w:pPr>
    </w:p>
    <w:p>
      <w:pPr>
        <w:jc w:val="both"/>
        <w:ind w:left="440" w:right="20" w:firstLine="948"/>
        <w:spacing w:after="0" w:line="266" w:lineRule="auto"/>
        <w:tabs>
          <w:tab w:leader="none" w:pos="165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business or personal interests that could place such proposed nominee in a potential conflict of interest with the Corporation or any of its affiliates and how the proposed nominee, if elected, intends to mitigate or reconcile any such potential conflict of interest; and</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completed and signed questionnaires, representations and agreements required by Section 1.12.2 of these Bylaws.</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The Corporation may require any proposed nominee to furnish such other information as it may reasonably require to determine whether such proposed nominee would qualify as an independent director of the Corporation under the Exchange Act, applicable stock exchange rules and the Policies.</w:t>
      </w:r>
    </w:p>
    <w:p>
      <w:pPr>
        <w:spacing w:after="0" w:line="176" w:lineRule="exact"/>
        <w:rPr>
          <w:sz w:val="20"/>
          <w:szCs w:val="20"/>
          <w:color w:val="auto"/>
        </w:rPr>
      </w:pPr>
    </w:p>
    <w:p>
      <w:pPr>
        <w:ind w:right="20" w:firstLine="987"/>
        <w:spacing w:after="0" w:line="282" w:lineRule="auto"/>
        <w:tabs>
          <w:tab w:leader="none" w:pos="125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business, other than the nomination of a person for election or reelection as a director, that the Record Stockholder proposes to bring before the meeting, in addition to the matters set forth in paragraph (e) below, such Record Stockholder’s notice shall set forth: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04" w:name="page105"/>
    <w:bookmarkEnd w:id="104"/>
    <w:p>
      <w:pPr>
        <w:ind w:left="1160" w:hanging="212"/>
        <w:spacing w:after="0"/>
        <w:tabs>
          <w:tab w:leader="none" w:pos="11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brief description of the business desired to be brought before the meeting;</w:t>
      </w:r>
    </w:p>
    <w:p>
      <w:pPr>
        <w:spacing w:after="0" w:line="117" w:lineRule="exact"/>
        <w:rPr>
          <w:rFonts w:ascii="Times New Roman" w:cs="Times New Roman" w:eastAsia="Times New Roman" w:hAnsi="Times New Roman"/>
          <w:sz w:val="18"/>
          <w:szCs w:val="18"/>
          <w:color w:val="auto"/>
        </w:rPr>
      </w:pPr>
    </w:p>
    <w:p>
      <w:pPr>
        <w:ind w:right="20" w:firstLine="948"/>
        <w:spacing w:after="0" w:line="282" w:lineRule="auto"/>
        <w:tabs>
          <w:tab w:leader="none" w:pos="123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proposal or business (including the text of any resolutions proposed for consideration and in the event that such business includes a proposal to amend the Bylaws, the text of the proposed amendment);</w:t>
      </w:r>
    </w:p>
    <w:p>
      <w:pPr>
        <w:spacing w:after="0" w:line="161"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conducting such business at the meeting; and</w:t>
      </w:r>
    </w:p>
    <w:p>
      <w:pPr>
        <w:spacing w:after="0" w:line="117" w:lineRule="exact"/>
        <w:rPr>
          <w:rFonts w:ascii="Times New Roman" w:cs="Times New Roman" w:eastAsia="Times New Roman" w:hAnsi="Times New Roman"/>
          <w:sz w:val="18"/>
          <w:szCs w:val="18"/>
          <w:color w:val="auto"/>
        </w:rPr>
      </w:pPr>
    </w:p>
    <w:p>
      <w:pPr>
        <w:ind w:left="1280" w:hanging="332"/>
        <w:spacing w:after="0"/>
        <w:tabs>
          <w:tab w:leader="none" w:pos="12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in such business of any Proposing Person, including any anticipated benefit to any Proposing Person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therefrom.</w:t>
      </w:r>
    </w:p>
    <w:p>
      <w:pPr>
        <w:spacing w:after="0" w:line="206"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the Record Stockholder’s notice shall set forth:</w:t>
      </w:r>
    </w:p>
    <w:p>
      <w:pPr>
        <w:spacing w:after="0" w:line="117" w:lineRule="exact"/>
        <w:rPr>
          <w:rFonts w:ascii="Times New Roman" w:cs="Times New Roman" w:eastAsia="Times New Roman" w:hAnsi="Times New Roman"/>
          <w:sz w:val="18"/>
          <w:szCs w:val="18"/>
          <w:color w:val="auto"/>
        </w:rPr>
      </w:pPr>
    </w:p>
    <w:p>
      <w:pPr>
        <w:ind w:right="20" w:firstLine="948"/>
        <w:spacing w:after="0" w:line="282" w:lineRule="auto"/>
        <w:tabs>
          <w:tab w:leader="none" w:pos="118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name and address of such Proposing Person, including, if applicable, their name and address as they appear on the Corporation’s stock ledger;</w:t>
      </w:r>
    </w:p>
    <w:p>
      <w:pPr>
        <w:spacing w:after="0" w:line="53" w:lineRule="exact"/>
        <w:rPr>
          <w:rFonts w:ascii="Times New Roman" w:cs="Times New Roman" w:eastAsia="Times New Roman" w:hAnsi="Times New Roman"/>
          <w:sz w:val="18"/>
          <w:szCs w:val="18"/>
          <w:color w:val="auto"/>
        </w:rPr>
      </w:pPr>
    </w:p>
    <w:p>
      <w:pPr>
        <w:jc w:val="both"/>
        <w:ind w:firstLine="948"/>
        <w:spacing w:after="0" w:line="256" w:lineRule="auto"/>
        <w:tabs>
          <w:tab w:leader="none" w:pos="124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 and (2) a certification regarding whether such Proposing Person, has complied with all applicable federal, state and other legal requirements in connection with such Proposing Person’s acquisition of shares of capital stock or other securities of the Corporation, if any, and/or such Proposing Person’s acts or omissions as a stockholder or beneficial owner of the Corporation;</w:t>
      </w:r>
    </w:p>
    <w:p>
      <w:pPr>
        <w:spacing w:after="0" w:line="79" w:lineRule="exact"/>
        <w:rPr>
          <w:rFonts w:ascii="Times New Roman" w:cs="Times New Roman" w:eastAsia="Times New Roman" w:hAnsi="Times New Roman"/>
          <w:sz w:val="18"/>
          <w:szCs w:val="18"/>
          <w:color w:val="auto"/>
        </w:rPr>
      </w:pPr>
    </w:p>
    <w:p>
      <w:pPr>
        <w:jc w:val="both"/>
        <w:ind w:firstLine="948"/>
        <w:spacing w:after="0" w:line="258" w:lineRule="auto"/>
        <w:tabs>
          <w:tab w:leader="none" w:pos="128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of the following that are held directly or indirectly by, on behalf of or for the benefit of such Proposing Person: (x) any Derivative Instrument (as defined below), (y) any rights to dividends on the shares of any class or series of shares of the Corporation that are separated or separable from the underlying shares of the Corporation; or (z) any Short Interest (as defined below), including, in each case, the date thereof, the class, series and number of securities involved therein, the material economic or voting terms thereof, and the identities of all persons party thereto;</w:t>
      </w:r>
    </w:p>
    <w:p>
      <w:pPr>
        <w:spacing w:after="0" w:line="75" w:lineRule="exact"/>
        <w:rPr>
          <w:rFonts w:ascii="Times New Roman" w:cs="Times New Roman" w:eastAsia="Times New Roman" w:hAnsi="Times New Roman"/>
          <w:sz w:val="18"/>
          <w:szCs w:val="18"/>
          <w:color w:val="auto"/>
        </w:rPr>
      </w:pPr>
    </w:p>
    <w:p>
      <w:pPr>
        <w:jc w:val="both"/>
        <w:ind w:firstLine="948"/>
        <w:spacing w:after="0" w:line="261" w:lineRule="auto"/>
        <w:tabs>
          <w:tab w:leader="none" w:pos="12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shares of the Corporation or Derivative Instruments held, directly or indirectly, by a general or limited partnership or limited liability company of which such Proposing Person is, directly or indirectly, a general partner, manager or managing member or, directly or indirectly, controls a general partner, manager or managing member of such a general or limited partnership or limited liability company;</w:t>
      </w:r>
    </w:p>
    <w:p>
      <w:pPr>
        <w:spacing w:after="0" w:line="71" w:lineRule="exact"/>
        <w:rPr>
          <w:rFonts w:ascii="Times New Roman" w:cs="Times New Roman" w:eastAsia="Times New Roman" w:hAnsi="Times New Roman"/>
          <w:sz w:val="18"/>
          <w:szCs w:val="18"/>
          <w:color w:val="auto"/>
        </w:rPr>
      </w:pPr>
    </w:p>
    <w:p>
      <w:pPr>
        <w:jc w:val="both"/>
        <w:ind w:firstLine="948"/>
        <w:spacing w:after="0" w:line="266" w:lineRule="auto"/>
        <w:tabs>
          <w:tab w:leader="none" w:pos="121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material interest of such Proposing Person in any material contract or agreement with the Corporation, any affiliate of the Corporation or any Competitor (including, in any such case, any employment agreement, collective bargaining agreement or consulting agreement);</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80" w:top="270" w:right="439" w:bottom="1440" w:gutter="0" w:footer="0" w:header="0"/>
        </w:sectPr>
      </w:pPr>
    </w:p>
    <w:bookmarkStart w:id="105" w:name="page106"/>
    <w:bookmarkEnd w:id="105"/>
    <w:p>
      <w:pPr>
        <w:jc w:val="both"/>
        <w:ind w:firstLine="948"/>
        <w:spacing w:after="0" w:line="261" w:lineRule="auto"/>
        <w:tabs>
          <w:tab w:leader="none" w:pos="127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description of any of the following that are held directly or indirectly by, on behalf of or for the benefit of such Proposing Person: (x) any significant equity interests in any Competitor or (y) any Derivative Instruments or Short Interests in any Competitor (including, the case of any Derivative Instrument or Short Interest, the date such instrument or interest was acquired, the class, series and number of securities involved therein, the material economic or voting terms thereof, and the identities of all persons party thereto);</w:t>
      </w:r>
    </w:p>
    <w:p>
      <w:pPr>
        <w:spacing w:after="0" w:line="71" w:lineRule="exact"/>
        <w:rPr>
          <w:rFonts w:ascii="Times New Roman" w:cs="Times New Roman" w:eastAsia="Times New Roman" w:hAnsi="Times New Roman"/>
          <w:sz w:val="18"/>
          <w:szCs w:val="18"/>
          <w:color w:val="auto"/>
        </w:rPr>
      </w:pPr>
    </w:p>
    <w:p>
      <w:pPr>
        <w:ind w:right="20" w:firstLine="948"/>
        <w:spacing w:after="0" w:line="282" w:lineRule="auto"/>
        <w:tabs>
          <w:tab w:leader="none" w:pos="13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relationship between such Proposing Person, on the one hand, and the Corporation, any affiliate of the Corporation or any Competitor, on the other hand;</w:t>
      </w:r>
    </w:p>
    <w:p>
      <w:pPr>
        <w:spacing w:after="0" w:line="53" w:lineRule="exact"/>
        <w:rPr>
          <w:rFonts w:ascii="Times New Roman" w:cs="Times New Roman" w:eastAsia="Times New Roman" w:hAnsi="Times New Roman"/>
          <w:sz w:val="18"/>
          <w:szCs w:val="18"/>
          <w:color w:val="auto"/>
        </w:rPr>
      </w:pPr>
    </w:p>
    <w:p>
      <w:pPr>
        <w:jc w:val="both"/>
        <w:ind w:firstLine="948"/>
        <w:spacing w:after="0" w:line="266" w:lineRule="auto"/>
        <w:tabs>
          <w:tab w:leader="none" w:pos="137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that would be required to be set forth in a Schedule 13D filed pursuant to Rule 13d-1(a) or an amendment pursuant to Rule 13d-2(a) pertaining to the Corporation and its securities, if such a statement were required to be filed under the Exchange Act by such Proposing Person, regardless of whether the requirement to file a Schedule 13D is applicable;</w:t>
      </w:r>
    </w:p>
    <w:p>
      <w:pPr>
        <w:spacing w:after="0" w:line="67" w:lineRule="exact"/>
        <w:rPr>
          <w:rFonts w:ascii="Times New Roman" w:cs="Times New Roman" w:eastAsia="Times New Roman" w:hAnsi="Times New Roman"/>
          <w:sz w:val="18"/>
          <w:szCs w:val="18"/>
          <w:color w:val="auto"/>
        </w:rPr>
      </w:pPr>
    </w:p>
    <w:p>
      <w:pPr>
        <w:jc w:val="both"/>
        <w:ind w:right="20" w:firstLine="948"/>
        <w:spacing w:after="0" w:line="266" w:lineRule="auto"/>
        <w:tabs>
          <w:tab w:leader="none" w:pos="125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Proposing Person that would be required to be disclosed in proxy materials or other filings required to be made in connection with solicitations of proxies or consents by such Proposing Person in support of the business or nomination proposed to be brought before the meeting pursuant to Section 14(a) (or any successor provision) under the Exchange Act;</w:t>
      </w:r>
    </w:p>
    <w:p>
      <w:pPr>
        <w:spacing w:after="0" w:line="67" w:lineRule="exact"/>
        <w:rPr>
          <w:rFonts w:ascii="Times New Roman" w:cs="Times New Roman" w:eastAsia="Times New Roman" w:hAnsi="Times New Roman"/>
          <w:sz w:val="18"/>
          <w:szCs w:val="18"/>
          <w:color w:val="auto"/>
        </w:rPr>
      </w:pPr>
    </w:p>
    <w:p>
      <w:pPr>
        <w:jc w:val="both"/>
        <w:ind w:right="20" w:firstLine="948"/>
        <w:spacing w:after="0" w:line="266" w:lineRule="auto"/>
        <w:tabs>
          <w:tab w:leader="none" w:pos="121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known by a Proposing Person, the names and addresses of any stockholder or beneficial owner that has provided or will provide financial support or material assistance in support of the nomination or business and a description of the nature of such support or assistance;</w:t>
      </w:r>
    </w:p>
    <w:p>
      <w:pPr>
        <w:spacing w:after="0" w:line="67" w:lineRule="exact"/>
        <w:rPr>
          <w:rFonts w:ascii="Times New Roman" w:cs="Times New Roman" w:eastAsia="Times New Roman" w:hAnsi="Times New Roman"/>
          <w:sz w:val="18"/>
          <w:szCs w:val="18"/>
          <w:color w:val="auto"/>
        </w:rPr>
      </w:pPr>
    </w:p>
    <w:p>
      <w:pPr>
        <w:jc w:val="both"/>
        <w:ind w:firstLine="948"/>
        <w:spacing w:after="0" w:line="266" w:lineRule="auto"/>
        <w:tabs>
          <w:tab w:leader="none" w:pos="128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(including the identities of all the parties thereto) between or among such Proposing Person on the one hand and any other person or persons, on the other hand, with respect to, relating to, or in connection with the nomination or business;</w:t>
      </w:r>
    </w:p>
    <w:p>
      <w:pPr>
        <w:spacing w:after="0" w:line="67" w:lineRule="exact"/>
        <w:rPr>
          <w:rFonts w:ascii="Times New Roman" w:cs="Times New Roman" w:eastAsia="Times New Roman" w:hAnsi="Times New Roman"/>
          <w:sz w:val="18"/>
          <w:szCs w:val="18"/>
          <w:color w:val="auto"/>
        </w:rPr>
      </w:pPr>
    </w:p>
    <w:p>
      <w:pPr>
        <w:ind w:right="20" w:firstLine="948"/>
        <w:spacing w:after="0" w:line="282" w:lineRule="auto"/>
        <w:tabs>
          <w:tab w:leader="none" w:pos="131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Record Stockholder is a holder of record of stock of the Corporation entitled to vote at such meeting and that such Record Stockholder (or a Qualified Representative thereof) will appear at the meeting to propose such business or nomination;</w:t>
      </w:r>
    </w:p>
    <w:p>
      <w:pPr>
        <w:spacing w:after="0" w:line="53" w:lineRule="exact"/>
        <w:rPr>
          <w:rFonts w:ascii="Times New Roman" w:cs="Times New Roman" w:eastAsia="Times New Roman" w:hAnsi="Times New Roman"/>
          <w:sz w:val="18"/>
          <w:szCs w:val="18"/>
          <w:color w:val="auto"/>
        </w:rPr>
      </w:pPr>
    </w:p>
    <w:p>
      <w:pPr>
        <w:jc w:val="both"/>
        <w:ind w:firstLine="948"/>
        <w:spacing w:after="0" w:line="254" w:lineRule="auto"/>
        <w:tabs>
          <w:tab w:leader="none" w:pos="13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such Proposing Person intends (or is part of a group that intends) to (x) in the case of a proposal other than the nomination of persons for election to the Board, deliver a proxy statement and/or form of proxy to holders of at least the percentage of the Corporation’s voting shares required under applicable law to approve the proposal (an affirmative statement of such intent being a “</w:t>
      </w:r>
      <w:r>
        <w:rPr>
          <w:rFonts w:ascii="Times New Roman" w:cs="Times New Roman" w:eastAsia="Times New Roman" w:hAnsi="Times New Roman"/>
          <w:sz w:val="18"/>
          <w:szCs w:val="18"/>
          <w:b w:val="1"/>
          <w:bCs w:val="1"/>
          <w:i w:val="1"/>
          <w:iCs w:val="1"/>
          <w:color w:val="auto"/>
        </w:rPr>
        <w:t>Solicitation Notice</w:t>
      </w:r>
      <w:r>
        <w:rPr>
          <w:rFonts w:ascii="Times New Roman" w:cs="Times New Roman" w:eastAsia="Times New Roman" w:hAnsi="Times New Roman"/>
          <w:sz w:val="18"/>
          <w:szCs w:val="18"/>
          <w:color w:val="auto"/>
        </w:rPr>
        <w:t>”) and, if so, the name of each participant (as defined in Item 4 of Exchange Act Schedule 14A) in such solicitation, (y) in the case of a nomination or nominations, solicit the holders of shares representing at least 67% of the voting power of the shares entitled to vote on the election of directors in support of director nominees other than the Corporation’s nominees in accordance with Rule 14a-19, and the name of each participant (as defined in Item 4 of Exchange Act Schedule 14A) in such solicitation, and/or (z) otherwise solicit proxies from stockholders in support of such proposal or nomination;</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106" w:name="page107"/>
    <w:bookmarkEnd w:id="106"/>
    <w:p>
      <w:pPr>
        <w:jc w:val="both"/>
        <w:ind w:left="444" w:firstLine="948"/>
        <w:spacing w:after="0" w:line="266" w:lineRule="auto"/>
        <w:tabs>
          <w:tab w:leader="none" w:pos="1803"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description of any pending or, to such Proposing Person’s knowledge, threatened legal proceeding in which such Proposing Person is a party or participant involving the Corporation or, to such Proposing Person’s knowledge, any current or former officer, director, affiliate or associate of the Corporation; and</w:t>
      </w:r>
    </w:p>
    <w:p>
      <w:pPr>
        <w:spacing w:after="0" w:line="67" w:lineRule="exact"/>
        <w:rPr>
          <w:rFonts w:ascii="Times New Roman" w:cs="Times New Roman" w:eastAsia="Times New Roman" w:hAnsi="Times New Roman"/>
          <w:sz w:val="18"/>
          <w:szCs w:val="18"/>
          <w:color w:val="auto"/>
        </w:rPr>
      </w:pPr>
    </w:p>
    <w:p>
      <w:pPr>
        <w:ind w:left="1764" w:hanging="372"/>
        <w:spacing w:after="0"/>
        <w:tabs>
          <w:tab w:leader="none" w:pos="176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proxy (other than a revocable proxy given in response to a proxy solicitation made to more than ten</w:t>
      </w:r>
    </w:p>
    <w:p>
      <w:pPr>
        <w:spacing w:after="0" w:line="27" w:lineRule="exact"/>
        <w:rPr>
          <w:rFonts w:ascii="Times New Roman" w:cs="Times New Roman" w:eastAsia="Times New Roman" w:hAnsi="Times New Roman"/>
          <w:sz w:val="18"/>
          <w:szCs w:val="18"/>
          <w:color w:val="auto"/>
        </w:rPr>
      </w:pPr>
    </w:p>
    <w:p>
      <w:pPr>
        <w:ind w:left="444" w:right="20" w:hanging="4"/>
        <w:spacing w:after="0" w:line="260" w:lineRule="auto"/>
        <w:tabs>
          <w:tab w:leader="none" w:pos="79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contract, arrangement, or relationship pursuant to which the Proposing Person has a right to vote, directly or indirectly, any shares or other securities of the Corporation.</w:t>
      </w:r>
    </w:p>
    <w:p>
      <w:pPr>
        <w:spacing w:after="0" w:line="181"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76" w:lineRule="exact"/>
        <w:rPr>
          <w:sz w:val="20"/>
          <w:szCs w:val="20"/>
          <w:color w:val="auto"/>
        </w:rPr>
      </w:pPr>
    </w:p>
    <w:p>
      <w:pPr>
        <w:jc w:val="both"/>
        <w:ind w:left="4" w:firstLine="987"/>
        <w:spacing w:after="0" w:line="252" w:lineRule="auto"/>
        <w:tabs>
          <w:tab w:leader="none" w:pos="123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written notice required by this Section 1.12.1 or Section 1.12.3, as applicable, shall update and supplement such notice, and any other information provided to the Corporation, in writing,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postponement or rescheduling thereof. In the case of an update pursuant to clause (i) of the foregoing sentence, such update shall be received by the Secretary at the principal executive office of the Corporation not later than five (5) business days after the record date for determining the stockholders entitled to notice of the meeting, and in the case of an update pursuant to clause (ii) of the foregoing sentence, such update shall be received by the Secretary at the principal executive office of the Corporation not later than eight (8) business days prior to the date for the meeting and, if practicable, any adjournment, postponement or rescheduling thereof (and, if not practicable, on the first practicable date prior to the date to which the meeting has been adjourned, postponed or rescheduled). Notwithstanding the foregoing, if a Proposing Person (x) no longer plans to solicit proxies in accordance with its representation(s) pursuant to Section 1.12.1(e)(xiii) or</w:t>
      </w:r>
    </w:p>
    <w:p>
      <w:pPr>
        <w:spacing w:after="0" w:line="5"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7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aware of any inaccuracy or change in information submitted to the Corporation, then the stockholder providing the written notice shall inform the Corporation thereof and update such notice by delivering a writing to the Secretary at the principal executive offices of the Corporation no later than two (2) business days after the occurrence of such change or after such time the Proposing Person became so aware, as applicable.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If a stockholder providing written notice fails to provide any written update in accordance with this Section 1.12, the information as to which such written update relates shall be deemed not to have been provided in accordance with these Bylaws.</w:t>
      </w:r>
    </w:p>
    <w:p>
      <w:pPr>
        <w:spacing w:after="0" w:line="193"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6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Section 1.12 or any other provision of these Bylaws to the contrary, any person who a majority of the Whole Board has determined, in good faith, to have violated Section 2.11 of these Bylaws or a Board Confidentiality Policy (as defined below) while serving as a director of the Corporation in the preceding five (5) years shall be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07" w:name="page108"/>
    <w:bookmarkEnd w:id="10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ineligible to be nominated for election or reelection as a member of the Board, absent a prior waiver for such nomination approved by two-thirds of the Whole Board.</w:t>
      </w:r>
    </w:p>
    <w:p>
      <w:pPr>
        <w:spacing w:after="0" w:line="162"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1.12.2 </w:t>
      </w:r>
      <w:r>
        <w:rPr>
          <w:rFonts w:ascii="Times New Roman" w:cs="Times New Roman" w:eastAsia="Times New Roman" w:hAnsi="Times New Roman"/>
          <w:sz w:val="18"/>
          <w:szCs w:val="18"/>
          <w:u w:val="single" w:color="auto"/>
          <w:color w:val="auto"/>
        </w:rPr>
        <w:t>Submission of Questionnaire, Representation and Agreement</w:t>
      </w:r>
      <w:r>
        <w:rPr>
          <w:rFonts w:ascii="Times New Roman" w:cs="Times New Roman" w:eastAsia="Times New Roman" w:hAnsi="Times New Roman"/>
          <w:sz w:val="18"/>
          <w:szCs w:val="18"/>
          <w:color w:val="auto"/>
        </w:rPr>
        <w:t>. To be eligible to be a nominee of any stockholder for election or reelection as a director of the Corporation, the person proposed to be nominated must complete, sign and deliver (in accordance with the time periods prescribed for delivery of notice under Section 1.12 of these Bylaws) to the Secretary at the principal executive offices of the Corporation a questionnaires in substantially the same form as the Corporation requests of the Board’s nominees for director (which form shall be provided within ten (10) days following a request therefor by a stockholder) and a signed representation and agreement (in the form available from the Secretary upon written request):</w:t>
      </w:r>
    </w:p>
    <w:p>
      <w:pPr>
        <w:spacing w:after="0" w:line="79" w:lineRule="exact"/>
        <w:rPr>
          <w:sz w:val="20"/>
          <w:szCs w:val="20"/>
          <w:color w:val="auto"/>
        </w:rPr>
      </w:pPr>
    </w:p>
    <w:p>
      <w:pPr>
        <w:jc w:val="both"/>
        <w:ind w:right="20" w:firstLine="987"/>
        <w:spacing w:after="0" w:line="266" w:lineRule="auto"/>
        <w:tabs>
          <w:tab w:leader="none" w:pos="123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is not and will not become a party to any Voting Commitment (as defined below) that (i) has not been disclosed to the Corporation or (ii) could limit or interfere with such person’s ability to comply, if elected as a director of the Corporation, with such person’s fiduciary duties under applicable law;</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is not and will not become a party to any Compensation Arrangement (as defined below) that has not been disclosed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w:t>
      </w:r>
    </w:p>
    <w:p>
      <w:pPr>
        <w:spacing w:after="0" w:line="206" w:lineRule="exact"/>
        <w:rPr>
          <w:rFonts w:ascii="Times New Roman" w:cs="Times New Roman" w:eastAsia="Times New Roman" w:hAnsi="Times New Roman"/>
          <w:sz w:val="18"/>
          <w:szCs w:val="18"/>
          <w:color w:val="auto"/>
        </w:rPr>
      </w:pPr>
    </w:p>
    <w:p>
      <w:pPr>
        <w:ind w:firstLine="987"/>
        <w:spacing w:after="0" w:line="282" w:lineRule="auto"/>
        <w:tabs>
          <w:tab w:leader="none" w:pos="12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if elected as a director of the Corporation, will comply with all informational and similar requirements of applicable insurance policies and laws and regulations in connection with service or action as a director of the Corporation;</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such person, if elected as a director of the Corporation, intends to comply with the Policies;</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25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acknowledges and agrees that, if elected as a director of the Corporation, he or she must and will act in the best interests of the Corporation and its stockholders generally and not in the interests of any individual constituencies;</w:t>
      </w:r>
    </w:p>
    <w:p>
      <w:pPr>
        <w:spacing w:after="0" w:line="161" w:lineRule="exact"/>
        <w:rPr>
          <w:rFonts w:ascii="Times New Roman" w:cs="Times New Roman" w:eastAsia="Times New Roman" w:hAnsi="Times New Roman"/>
          <w:sz w:val="18"/>
          <w:szCs w:val="18"/>
          <w:color w:val="auto"/>
        </w:rPr>
      </w:pPr>
    </w:p>
    <w:p>
      <w:pPr>
        <w:jc w:val="both"/>
        <w:ind w:firstLine="987"/>
        <w:spacing w:after="0" w:line="266" w:lineRule="auto"/>
        <w:tabs>
          <w:tab w:leader="none" w:pos="124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consents to being named as a nominee in any proxy materials relating to the Corporation’s meeting at which the nominee’s election as a director will be considered/voted upon, agrees to serve if elected as a director, and intends to serve as a director for the full term for which such individual is to stand for election; and</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6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if elected as a director, acknowledges and agrees that he or she must and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1.12.3 </w:t>
      </w: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58" w:lineRule="auto"/>
        <w:tabs>
          <w:tab w:leader="none" w:pos="124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(i) by or at the direction of the Board or any committee thereof or (ii) by any stockholder of the Corporation who is a stockholder of record at the time of giving of notice of the special meeting, who shall be entitled to vote at the meeting and who complies with the notice and other procedures set forth 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108" w:name="page109"/>
    <w:bookmarkEnd w:id="10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Section 1.12 in all applicable respects. In the event the Corporation calls a special meeting of stockholders for the purpose of electing one or more directors to the Board, for nominations to be properly brought before such meeting by a stockholder (or a Qualified Representative thereof) pursuant to Section 1.12.3(a)(ii) of these Bylaws:</w:t>
      </w:r>
    </w:p>
    <w:p>
      <w:pPr>
        <w:spacing w:after="0" w:line="68" w:lineRule="exact"/>
        <w:rPr>
          <w:sz w:val="20"/>
          <w:szCs w:val="20"/>
          <w:color w:val="auto"/>
        </w:rPr>
      </w:pPr>
    </w:p>
    <w:p>
      <w:pPr>
        <w:jc w:val="both"/>
        <w:ind w:left="440" w:right="20" w:firstLine="948"/>
        <w:spacing w:after="0" w:line="261" w:lineRule="auto"/>
        <w:tabs>
          <w:tab w:leader="none" w:pos="160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must have given timely notice thereof in writing to the Secretary of the Corporation setting forth such information, representations, certifications and agreements required by Section 1.12.1 and Section 1.12.2 and provide any updates or supplements to such notice at the times and in the forms required by this Section 1.12, in each case, with respect to stockholder nominations of persons for election to the Board at an annual meeting of stockholders;</w:t>
      </w:r>
    </w:p>
    <w:p>
      <w:pPr>
        <w:spacing w:after="0" w:line="71" w:lineRule="exact"/>
        <w:rPr>
          <w:rFonts w:ascii="Times New Roman" w:cs="Times New Roman" w:eastAsia="Times New Roman" w:hAnsi="Times New Roman"/>
          <w:sz w:val="18"/>
          <w:szCs w:val="18"/>
          <w:color w:val="auto"/>
        </w:rPr>
      </w:pPr>
    </w:p>
    <w:p>
      <w:pPr>
        <w:jc w:val="both"/>
        <w:ind w:left="440" w:right="20" w:firstLine="948"/>
        <w:spacing w:after="0" w:line="261" w:lineRule="auto"/>
        <w:tabs>
          <w:tab w:leader="none" w:pos="166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Proposing Person shall have complied with the applicable requirements of the Exchange Act and the rules and regulations promulgated thereunder (including, without limitation, the applicable requirements of Rule 14a-19), as such rules and regulations may be amended from time to time by the Securities and Exchange Commission, including any Securities and Exchange Commission Staff interpretations relating thereto; and</w:t>
      </w:r>
    </w:p>
    <w:p>
      <w:pPr>
        <w:spacing w:after="0" w:line="71" w:lineRule="exact"/>
        <w:rPr>
          <w:rFonts w:ascii="Times New Roman" w:cs="Times New Roman" w:eastAsia="Times New Roman" w:hAnsi="Times New Roman"/>
          <w:sz w:val="18"/>
          <w:szCs w:val="18"/>
          <w:color w:val="auto"/>
        </w:rPr>
      </w:pPr>
    </w:p>
    <w:p>
      <w:pPr>
        <w:jc w:val="both"/>
        <w:ind w:left="440" w:right="20" w:firstLine="948"/>
        <w:spacing w:after="0" w:line="261" w:lineRule="auto"/>
        <w:tabs>
          <w:tab w:leader="none" w:pos="173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Proposing Person (or a group of which such Proposing Person is a part) provided notice pursuant to Rule 14a-19(b) promulgated under the Exchange Act, such Proposing Person must have delivered to the Secretary, no later than five (5) business days prior to the special meeting or any adjournment, rescheduling or postponement or other delay thereof, reasonable evidence sufficient to demonstrate that the requirements of Rule 14a-19 have been satisfied.</w:t>
      </w:r>
    </w:p>
    <w:p>
      <w:pPr>
        <w:spacing w:after="0" w:line="180" w:lineRule="exact"/>
        <w:rPr>
          <w:sz w:val="20"/>
          <w:szCs w:val="20"/>
          <w:color w:val="auto"/>
        </w:rPr>
      </w:pPr>
    </w:p>
    <w:p>
      <w:pPr>
        <w:jc w:val="both"/>
        <w:ind w:firstLine="987"/>
        <w:spacing w:after="0" w:line="256" w:lineRule="auto"/>
        <w:tabs>
          <w:tab w:leader="none" w:pos="125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a stockholder’s notice required by this Section 1.12.3 of these Bylaws shall be delivered to the Secretary at the principal executive offices of the Corporation (i) no earlier than the one hundred and fifth (105th) day prior to such special meeting and (ii) no later than 5:00 p.m. Eastern Time on the later of the seventy-fifth (75th) day prior to such special meeting or the tenth (10th) day following the day on which Public Announcement is first made of the date of the special meeting and of the nominees proposed by the Board to be elected at such meeting. In no event shall an adjournment, postponement or rescheduling (or the Public Announcement thereof) of a special meeting commence a new time period (or extend any time period) for providing such notice.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1.12.4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54" w:lineRule="auto"/>
        <w:tabs>
          <w:tab w:leader="none" w:pos="124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any applicable rule or regulation promulgated under the Exchange Act, only such persons who are nominated in accordance with the procedures set forth in this Section 1.12 shall be eligible to be elected or reelected as directors at a meeting of stockholders and only such business shall be conducted at an annual meeting of stockholders as shall have been brought before the meeting in accordance with the procedures set forth in this Section 1.12. Except as otherwise provided by applicable law or these Bylaws, the Board or, at a meeting of stockholders (but subject to any rules and regulation adopted by, and the supervision of, the Board), the chairperson of the meeting shall have the power to determine whether a nomination or any other business proposed to be brought before the meeting was made or proposed, as the case may be, in accordance with the applicable requirements and procedures set forth in this Section 1.12 (including the stockholder and nominee, as applicable, acting in a manner consistent with any representation required hereby, satisfying the information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09" w:name="page110"/>
    <w:bookmarkEnd w:id="109"/>
    <w:p>
      <w:pPr>
        <w:jc w:val="both"/>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requirements set forth herein with accurate and complete information and complying with all applicable laws, rules and regulations referred to herein) and, if any proposed nomination or business is not in compliance herewith, to declare that such defective proposal or nomination shall be disregarded (and any such nominee shall be disqualified from standing for election or re-election), notwithstanding that proxies in respect of such business or nominations may have been received by the Corporation. If a stockholder provides notice pursuant to Rule 14a-19(b) promulgated under the Exchange Act and subsequently fails to comply with the requirements of Rule 14a-19(a)(2) and Rule 14a-19(a)(3) promulgated under the Exchange Act, including the provision to the Corporation of notices required thereunder in a timely manner, then any such nominee shall be disqualified and the Corporation shall disregard any proxies or votes solicited for such stockholder’s director nominees. Notwithstanding the foregoing provisions of this Section 1.12, unless otherwise required by applicable law, if the stockholder (or a Qualified Representative of the stockholder) does not appear at the annual or special meeting of stockholders of the Corporation to present a nomination or proposed business, such nomination shall be disregarded (and any such nominee shall be disqualified from standing for election or reelection), and such proposed business shall not be transacted, notwithstanding that proxies or votes in respect thereof may have been received by the Corporation. Notwithstanding the foregoing provisions of Section 1.12, unless otherwise permitted by applicable law, no stockholder shall solicit proxies in support of director nominees other than the Corporation’s nominees unless such stockholder has complied with Rule 14a-19 promulgated under the Exchange Act in connection with the solicitation of such proxies, including the provision to the Corporation of notices required thereunder in a timely manner.</w:t>
      </w:r>
    </w:p>
    <w:p>
      <w:pPr>
        <w:spacing w:after="0" w:line="197" w:lineRule="exact"/>
        <w:rPr>
          <w:sz w:val="20"/>
          <w:szCs w:val="20"/>
          <w:color w:val="auto"/>
        </w:rPr>
      </w:pPr>
    </w:p>
    <w:p>
      <w:pPr>
        <w:jc w:val="both"/>
        <w:ind w:left="4" w:firstLine="987"/>
        <w:spacing w:after="0" w:line="255" w:lineRule="auto"/>
        <w:tabs>
          <w:tab w:leader="none" w:pos="125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nominees a stockholder may nominate for election at a meeting of stockholders (or in the case of a stockholder giving the notice on behalf of a beneficial owner, the number of nominees a stockholder may nominate for election at the meeting on behalf of such beneficial owner) shall not exceed the number of directors to be elected by the stockholders generally at such meeting. In addition, a stockholder may not designate any substitute or alternate nominees unless such stockholder provides timely notice of such substitute or alternate nominee(s) in accordance with Section 1.12.1, in the case of an annual meeting, or Section 1.12.2, in the case of a special meeting (and such notice contains all of the information, representations, agreements, questionnaires and certifications with respect to such substitute or alternate nominee(s) that are required by the Bylaws with respect to nominees for director election submitted by a stockholder).</w:t>
      </w:r>
    </w:p>
    <w:p>
      <w:pPr>
        <w:spacing w:after="0" w:line="188" w:lineRule="exact"/>
        <w:rPr>
          <w:rFonts w:ascii="Times New Roman" w:cs="Times New Roman" w:eastAsia="Times New Roman" w:hAnsi="Times New Roman"/>
          <w:sz w:val="18"/>
          <w:szCs w:val="18"/>
          <w:color w:val="auto"/>
        </w:rPr>
      </w:pPr>
    </w:p>
    <w:p>
      <w:pPr>
        <w:jc w:val="both"/>
        <w:ind w:left="4" w:right="20" w:firstLine="987"/>
        <w:spacing w:after="0" w:line="255" w:lineRule="auto"/>
        <w:tabs>
          <w:tab w:leader="none" w:pos="124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1.12, a stockholder shall also comply with all applicable requirements of the Exchange Act with respect to the matters set forth herein, for the avoidance of doubt including, but not limited to, Rule 14a-19 of the Exchange Act, and any failure to comply therewith shall be deemed a failure to comply with this Section 1.12. Nothing in this Section 1.12 shall be deemed to affect any rights of (i) stockholders to request inclusion of proposals in the Corporation’s proxy statement pursuant to Rule 14a-8 under the Exchange Act or</w:t>
      </w:r>
    </w:p>
    <w:p>
      <w:pPr>
        <w:spacing w:after="0" w:line="2" w:lineRule="exact"/>
        <w:rPr>
          <w:rFonts w:ascii="Times New Roman" w:cs="Times New Roman" w:eastAsia="Times New Roman" w:hAnsi="Times New Roman"/>
          <w:sz w:val="18"/>
          <w:szCs w:val="18"/>
          <w:color w:val="auto"/>
        </w:rPr>
      </w:pPr>
    </w:p>
    <w:p>
      <w:pPr>
        <w:ind w:left="4" w:right="20" w:hanging="4"/>
        <w:spacing w:after="0" w:line="260" w:lineRule="auto"/>
        <w:tabs>
          <w:tab w:leader="none" w:pos="30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any series of the Corporation’s Preferred Stock to elect directors pursuant to any applicable provisions of the Certificate of Incorporation.</w:t>
      </w:r>
    </w:p>
    <w:p>
      <w:pPr>
        <w:spacing w:after="0" w:line="18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the following definitions shall apply:</w:t>
      </w:r>
    </w:p>
    <w:p>
      <w:pPr>
        <w:spacing w:after="0" w:line="113" w:lineRule="exact"/>
        <w:rPr>
          <w:rFonts w:ascii="Times New Roman" w:cs="Times New Roman" w:eastAsia="Times New Roman" w:hAnsi="Times New Roman"/>
          <w:sz w:val="18"/>
          <w:szCs w:val="18"/>
          <w:color w:val="auto"/>
        </w:rPr>
      </w:pPr>
    </w:p>
    <w:p>
      <w:pPr>
        <w:jc w:val="both"/>
        <w:ind w:left="984" w:firstLine="408"/>
        <w:spacing w:after="0" w:line="268" w:lineRule="auto"/>
        <w:tabs>
          <w:tab w:leader="none" w:pos="160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associate</w:t>
      </w:r>
      <w:r>
        <w:rPr>
          <w:rFonts w:ascii="Times New Roman" w:cs="Times New Roman" w:eastAsia="Times New Roman" w:hAnsi="Times New Roman"/>
          <w:sz w:val="18"/>
          <w:szCs w:val="18"/>
          <w:color w:val="auto"/>
        </w:rPr>
        <w:t>” shall have the meanings ascribed thereto in Rule 405 under the Securities Act of 1933, as amended (the “Securities Act”); provided, however, that the term “partner” as used in the definition of “associate” shall not include any limited partner that is not involved in the management of the relevant partnership;</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110" w:name="page111"/>
    <w:bookmarkEnd w:id="110"/>
    <w:p>
      <w:pPr>
        <w:jc w:val="both"/>
        <w:ind w:left="-20" w:firstLine="408"/>
        <w:spacing w:after="0" w:line="262" w:lineRule="auto"/>
        <w:tabs>
          <w:tab w:leader="none" w:pos="7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Compensation Arrangement</w:t>
      </w:r>
      <w:r>
        <w:rPr>
          <w:rFonts w:ascii="Times New Roman" w:cs="Times New Roman" w:eastAsia="Times New Roman" w:hAnsi="Times New Roman"/>
          <w:sz w:val="18"/>
          <w:szCs w:val="18"/>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68" w:lineRule="exact"/>
        <w:rPr>
          <w:rFonts w:ascii="Times New Roman" w:cs="Times New Roman" w:eastAsia="Times New Roman" w:hAnsi="Times New Roman"/>
          <w:sz w:val="18"/>
          <w:szCs w:val="18"/>
          <w:color w:val="auto"/>
        </w:rPr>
      </w:pPr>
    </w:p>
    <w:p>
      <w:pPr>
        <w:jc w:val="both"/>
        <w:ind w:left="-20" w:firstLine="408"/>
        <w:spacing w:after="0" w:line="268" w:lineRule="auto"/>
        <w:tabs>
          <w:tab w:leader="none" w:pos="69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Competitor</w:t>
      </w:r>
      <w:r>
        <w:rPr>
          <w:rFonts w:ascii="Times New Roman" w:cs="Times New Roman" w:eastAsia="Times New Roman" w:hAnsi="Times New Roman"/>
          <w:sz w:val="18"/>
          <w:szCs w:val="18"/>
          <w:color w:val="auto"/>
        </w:rPr>
        <w:t>” shall mean any entity that the Board determines, in good faith, provides products or services that compete with or are alternatives to the principal products produced or services provided by the Corporation or its affiliates, a list of which entities shall be maintained by the Corporation and provided within ten (10) days following a request therefor by a stockholder;</w:t>
      </w:r>
    </w:p>
    <w:p>
      <w:pPr>
        <w:spacing w:after="0" w:line="62" w:lineRule="exact"/>
        <w:rPr>
          <w:rFonts w:ascii="Times New Roman" w:cs="Times New Roman" w:eastAsia="Times New Roman" w:hAnsi="Times New Roman"/>
          <w:sz w:val="18"/>
          <w:szCs w:val="18"/>
          <w:color w:val="auto"/>
        </w:rPr>
      </w:pPr>
    </w:p>
    <w:p>
      <w:pPr>
        <w:jc w:val="both"/>
        <w:ind w:left="-20" w:right="20" w:firstLine="408"/>
        <w:spacing w:after="0" w:line="259" w:lineRule="auto"/>
        <w:tabs>
          <w:tab w:leader="none" w:pos="69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 Instrument</w:t>
      </w:r>
      <w:r>
        <w:rPr>
          <w:rFonts w:ascii="Times New Roman" w:cs="Times New Roman" w:eastAsia="Times New Roman" w:hAnsi="Times New Roman"/>
          <w:sz w:val="18"/>
          <w:szCs w:val="18"/>
          <w:color w:val="auto"/>
        </w:rPr>
        <w:t>” shall mean any derivative interest in the Corporation’s equity securities, including without limitation any option, warrant, convertible security, stock appreciation right, cash-settled equity swap, total return swap, synthetic equity position or similar derivative arrangement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settled in cash or stock or other property or securities;</w:t>
      </w:r>
    </w:p>
    <w:p>
      <w:pPr>
        <w:spacing w:after="0" w:line="71" w:lineRule="exact"/>
        <w:rPr>
          <w:rFonts w:ascii="Times New Roman" w:cs="Times New Roman" w:eastAsia="Times New Roman" w:hAnsi="Times New Roman"/>
          <w:sz w:val="18"/>
          <w:szCs w:val="18"/>
          <w:color w:val="auto"/>
        </w:rPr>
      </w:pPr>
    </w:p>
    <w:p>
      <w:pPr>
        <w:ind w:left="-20" w:right="20" w:firstLine="408"/>
        <w:spacing w:after="0" w:line="286" w:lineRule="auto"/>
        <w:tabs>
          <w:tab w:leader="none" w:pos="69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Policies</w:t>
      </w:r>
      <w:r>
        <w:rPr>
          <w:rFonts w:ascii="Times New Roman" w:cs="Times New Roman" w:eastAsia="Times New Roman" w:hAnsi="Times New Roman"/>
          <w:sz w:val="18"/>
          <w:szCs w:val="18"/>
          <w:color w:val="auto"/>
        </w:rPr>
        <w:t>” shall mean all publicly disclosed corporate governance, conflict of interest, stock ownership requirements, confidentiality and training policies and guidelines of the Corporation applicable to directors;</w:t>
      </w:r>
    </w:p>
    <w:p>
      <w:pPr>
        <w:spacing w:after="0" w:line="46" w:lineRule="exact"/>
        <w:rPr>
          <w:rFonts w:ascii="Times New Roman" w:cs="Times New Roman" w:eastAsia="Times New Roman" w:hAnsi="Times New Roman"/>
          <w:sz w:val="18"/>
          <w:szCs w:val="18"/>
          <w:color w:val="auto"/>
        </w:rPr>
      </w:pPr>
    </w:p>
    <w:p>
      <w:pPr>
        <w:jc w:val="both"/>
        <w:ind w:left="-20" w:firstLine="408"/>
        <w:spacing w:after="0" w:line="262" w:lineRule="auto"/>
        <w:tabs>
          <w:tab w:leader="none" w:pos="68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Proposing Person</w:t>
      </w:r>
      <w:r>
        <w:rPr>
          <w:rFonts w:ascii="Times New Roman" w:cs="Times New Roman" w:eastAsia="Times New Roman" w:hAnsi="Times New Roman"/>
          <w:sz w:val="18"/>
          <w:szCs w:val="18"/>
          <w:color w:val="auto"/>
        </w:rPr>
        <w:t>” shall mean (1) the Record Stockholder providing the notice of business proposed to be brought before an annual meeting or the Record Stockholder (or stockholder, in the case of a special meeting) providing notice of nomination of persons for election to the Board at a stockholder meeting, (2) any beneficial owner on whose behalf the proposal or nomination is made, and (3) any affiliate or associate of the foregoing persons;</w:t>
      </w:r>
    </w:p>
    <w:p>
      <w:pPr>
        <w:spacing w:after="0" w:line="68" w:lineRule="exact"/>
        <w:rPr>
          <w:rFonts w:ascii="Times New Roman" w:cs="Times New Roman" w:eastAsia="Times New Roman" w:hAnsi="Times New Roman"/>
          <w:sz w:val="18"/>
          <w:szCs w:val="18"/>
          <w:color w:val="auto"/>
        </w:rPr>
      </w:pPr>
    </w:p>
    <w:p>
      <w:pPr>
        <w:jc w:val="both"/>
        <w:ind w:left="-20" w:right="20" w:firstLine="408"/>
        <w:spacing w:after="0" w:line="262" w:lineRule="auto"/>
        <w:tabs>
          <w:tab w:leader="none" w:pos="7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other national news service or in a document publicly filed by the Corporation with the Securities and Exchange Commission pursuant to Section 13, 14 or 15(d) of the Exchange Act or by such other means as is reasonably designed to inform the public or stockholders of the Corporation in general of such information;</w:t>
      </w:r>
    </w:p>
    <w:p>
      <w:pPr>
        <w:spacing w:after="0" w:line="68" w:lineRule="exact"/>
        <w:rPr>
          <w:rFonts w:ascii="Times New Roman" w:cs="Times New Roman" w:eastAsia="Times New Roman" w:hAnsi="Times New Roman"/>
          <w:sz w:val="18"/>
          <w:szCs w:val="18"/>
          <w:color w:val="auto"/>
        </w:rPr>
      </w:pPr>
    </w:p>
    <w:p>
      <w:pPr>
        <w:jc w:val="both"/>
        <w:ind w:left="-20" w:firstLine="408"/>
        <w:spacing w:after="0" w:line="262" w:lineRule="auto"/>
        <w:tabs>
          <w:tab w:leader="none" w:pos="80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Qualified Representative</w:t>
      </w:r>
      <w:r>
        <w:rPr>
          <w:rFonts w:ascii="Times New Roman" w:cs="Times New Roman" w:eastAsia="Times New Roman" w:hAnsi="Times New Roman"/>
          <w:sz w:val="18"/>
          <w:szCs w:val="18"/>
          <w:color w:val="auto"/>
        </w:rPr>
        <w:t>” of a stockholder shall mean a person who is (i) a duly authorized officer, manager, trustee or partner of such stockholder or (ii) authorized by a writing executed by such stockholder or an electronic transmission delivered by such stockholder to act for such stockholder as a proxy at the meeting of stockholders, which writing or electronic transmission, or a reliable reproduction of the writing or electronic transmission must be delivered to the Secretary at the principal executive offices of the Corporation by no later than 5:00 p.m. Eastern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before such meeting of stockholders;</w:t>
      </w:r>
    </w:p>
    <w:p>
      <w:pPr>
        <w:spacing w:after="0" w:line="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020"/>
          </w:cols>
          <w:pgMar w:left="1440" w:top="266" w:right="439" w:bottom="1440" w:gutter="0" w:footer="0" w:header="0"/>
        </w:sectPr>
      </w:pPr>
    </w:p>
    <w:bookmarkStart w:id="111" w:name="page112"/>
    <w:bookmarkEnd w:id="111"/>
    <w:p>
      <w:pPr>
        <w:jc w:val="both"/>
        <w:ind w:left="980" w:firstLine="408"/>
        <w:spacing w:after="0" w:line="259" w:lineRule="auto"/>
        <w:tabs>
          <w:tab w:leader="none" w:pos="168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Short Interest</w:t>
      </w:r>
      <w:r>
        <w:rPr>
          <w:rFonts w:ascii="Times New Roman" w:cs="Times New Roman" w:eastAsia="Times New Roman" w:hAnsi="Times New Roman"/>
          <w:sz w:val="18"/>
          <w:szCs w:val="18"/>
          <w:color w:val="auto"/>
        </w:rPr>
        <w:t>” shall mean any short interest in any security of the Corporation that a person directly or indirectly, through any contract, arrangement, understanding, relationship or otherwise, has the opportunity to profit or share in any profit derived from any increase or decrease in the value of the subject security or any other agreement, arrangement or understanding (including without limitation any borrowing or lending of shares) the effect or intent of which is to mitigate loss to or manage risk or benefit of share price changes for, or to increase or decrease the voting power of, such person with respect to any share of stock of the Corporation; and</w:t>
      </w:r>
    </w:p>
    <w:p>
      <w:pPr>
        <w:spacing w:after="0" w:line="71" w:lineRule="exact"/>
        <w:rPr>
          <w:rFonts w:ascii="Times New Roman" w:cs="Times New Roman" w:eastAsia="Times New Roman" w:hAnsi="Times New Roman"/>
          <w:sz w:val="18"/>
          <w:szCs w:val="18"/>
          <w:color w:val="auto"/>
        </w:rPr>
      </w:pPr>
    </w:p>
    <w:p>
      <w:pPr>
        <w:ind w:left="980" w:right="20" w:firstLine="408"/>
        <w:spacing w:after="0" w:line="286" w:lineRule="auto"/>
        <w:tabs>
          <w:tab w:leader="none" w:pos="16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Commitment</w:t>
      </w:r>
      <w:r>
        <w:rPr>
          <w:rFonts w:ascii="Times New Roman" w:cs="Times New Roman" w:eastAsia="Times New Roman" w:hAnsi="Times New Roman"/>
          <w:sz w:val="18"/>
          <w:szCs w:val="18"/>
          <w:color w:val="auto"/>
        </w:rPr>
        <w:t>” shall mean any agreement, arrangement or understanding with, or any commitment or assurance given to, any person or entity as to how a person will act or vote on any issue or question as a director of the Corporation.</w:t>
      </w:r>
    </w:p>
    <w:p>
      <w:pPr>
        <w:spacing w:after="0" w:line="15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1.12.5 </w:t>
      </w:r>
      <w:r>
        <w:rPr>
          <w:rFonts w:ascii="Times New Roman" w:cs="Times New Roman" w:eastAsia="Times New Roman" w:hAnsi="Times New Roman"/>
          <w:sz w:val="18"/>
          <w:szCs w:val="18"/>
          <w:u w:val="single" w:color="auto"/>
          <w:color w:val="auto"/>
        </w:rPr>
        <w:t>Rule 14a-8</w:t>
      </w:r>
      <w:r>
        <w:rPr>
          <w:rFonts w:ascii="Times New Roman" w:cs="Times New Roman" w:eastAsia="Times New Roman" w:hAnsi="Times New Roman"/>
          <w:sz w:val="18"/>
          <w:szCs w:val="18"/>
          <w:color w:val="auto"/>
        </w:rPr>
        <w:t>. Nothing in this Section 1.12 shall be deemed to affect any rights of stockholders to have a proposal included in the Corporation’s proxy statement pursuant to Rule 14a-8 under the Exchange Act.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BOARD OF DIRECTORS</w:t>
      </w:r>
    </w:p>
    <w:p>
      <w:pPr>
        <w:spacing w:after="0" w:line="117"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Number; Qualifications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total number of directors constituting the Whole Board shall be fixed from time to time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Certificate of Incorporation and the term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76"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Election; Resignation; Removal; 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directors need not be by written ballot. Subject to the special rights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any series of the Corporation’s Preferred Stock to elect directors,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the Corporation’s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88"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Regular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meetings of the Board may be held at such places (if any), within or without the State of Delaware,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such times as the Board may from time to time determine. Notice of regular meetings need not be given if the date, times and places thereof are fixed by resolution of the Board.</w:t>
      </w:r>
    </w:p>
    <w:p>
      <w:pPr>
        <w:spacing w:after="0" w:line="171"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Board may be called by the Chairperson of the Board, the Chief Executive Officer,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 Independent Director or a majority of the members of the Board then in office and may be held at any time, date or place (if any), within or without the State of Delaware, as the person or persons calling the meeting shall fix.</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112" w:name="page113"/>
    <w:bookmarkEnd w:id="112"/>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the time, date and place (if any) of such meeting shall be given, orally, in writing or by electronic transmission (including electronic mail), by or at the direction of the person or persons calling the meeting to all directors at least four (4) days before the meeting if the notice is mailed, or at least twenty-four (24) hours before the meeting if such notice is given personally or by telephone, hand delivery or electronic transmission; provided, however, that if, under the circumstances, the Chairperson of the Board, the Lead Independent Director, the Chief Executive Officer or the majority members of the Board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83"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Remote Meetings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Board, or any committee of the Board, may participate in a meeting of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76"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Quorum; Vote Required for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meetings of the Board, a majority of the Whole Board shall constitute a quorum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of business. If a quorum shall fail to attend any meeting, a majority of those present may adjourn the meeting to another place, date or time. Except as otherwise provided herein or in the Certificate of Incorporation, or required by applicable law, the vote of a majority of the directors present at a meeting at which a quorum is present shall be the act of the Board.</w:t>
      </w:r>
    </w:p>
    <w:p>
      <w:pPr>
        <w:spacing w:after="0" w:line="176"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the Board shall be presided over by (a) the Chairperson of the Board, or (b) in the absence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the Lead Independent Director, or (c) in such person’s absence, by the Chief Executive Officer, if a director, or (d) in such person’s absence or if such person is not a director, by a director chosen by the Board at the meeting. The Secretary shall act as secretary of the meeting, but in such person’s absence the chairperson of the meeting may appoint any person to act as secretary of the meeting.</w:t>
      </w:r>
    </w:p>
    <w:p>
      <w:pPr>
        <w:spacing w:after="0" w:line="176"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Unanimous Action by Directors in Lieu of a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required or permitted to be taken at any meeting of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committee thereof, may be taken without a meeting if all members of the Board or such committee, as the case may be, consent thereto in writing or by electronic transmission. After an action is taken, the writing or writings or electronic transmission or transmissions shall be filed with the minutes of proceedings of the Board or the committee thereof, as applicable.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2.9: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exercise all of the powers of the Corporation except as otherwise provided by the DGCL,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these Bylaws.</w:t>
      </w:r>
    </w:p>
    <w:p>
      <w:pPr>
        <w:spacing w:after="0" w:line="15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2.10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Compensation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Board, as such, may receive, pursuant to a resolution of the Board, fees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for their services as directors, including without limitation their services as members of committees of the Board. No such payment shall preclude any director from serving the Corporation in any other capacity and receiving compensation therefor.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113" w:name="page114"/>
    <w:bookmarkEnd w:id="113"/>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director shall (i) maintain the confidentiality of any non-public information learned in their capacities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including communications among Board members in their capacities as directors, and (ii) shall not share any such information with any third-party person or entity who has not entered into a specific written agreement with the Corporation, as approved by the Board, providing otherwise with respect to such information. The Board may adopt a board confidentiality policy further implementing and interpreting this Section 2.11 (a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Confidentiality Policy</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2.12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Emergency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Section 2.12 shall be operative during any emergency condition as contemplated by Section 110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 (an “</w:t>
      </w:r>
      <w:r>
        <w:rPr>
          <w:rFonts w:ascii="Times New Roman" w:cs="Times New Roman" w:eastAsia="Times New Roman" w:hAnsi="Times New Roman"/>
          <w:sz w:val="18"/>
          <w:szCs w:val="18"/>
          <w:b w:val="1"/>
          <w:bCs w:val="1"/>
          <w:i w:val="1"/>
          <w:iCs w:val="1"/>
          <w:color w:val="auto"/>
        </w:rPr>
        <w:t>Emergency</w:t>
      </w:r>
      <w:r>
        <w:rPr>
          <w:rFonts w:ascii="Times New Roman" w:cs="Times New Roman" w:eastAsia="Times New Roman" w:hAnsi="Times New Roman"/>
          <w:sz w:val="18"/>
          <w:szCs w:val="18"/>
          <w:color w:val="auto"/>
        </w:rPr>
        <w:t>”), notwithstanding any different or conflicting provisions in these Bylaws, the Certificate of Incorporation or the DGCL. In the event of any Emergency the director or directors in attendance at a meeting of the Board or a standing committee thereof shall constitute a quorum. Such director or directors in attendance may further take action to appoint one or more of themselves or other directors to membership on any standing or temporary committees of the Board as they shall deem necessary and appropriate. In the event that no directors are able to attend a meeting of the Board or any committee thereof in an Emergency, then the Designated Officers in attendance shall serve as directors, or committee members, as the case may be, for the meeting and will have full powers to act as directors, or committee members, as the case may be, of the Corporation. Except as the Board may otherwise determine, during any Emergency, the Corporation and its directors and officers, may exercise any authority and take any action or measure contemplated by Section 110 of the DGCL. For purposes of this Section 2.12, the term “</w:t>
      </w:r>
      <w:r>
        <w:rPr>
          <w:rFonts w:ascii="Times New Roman" w:cs="Times New Roman" w:eastAsia="Times New Roman" w:hAnsi="Times New Roman"/>
          <w:sz w:val="18"/>
          <w:szCs w:val="18"/>
          <w:b w:val="1"/>
          <w:bCs w:val="1"/>
          <w:i w:val="1"/>
          <w:iCs w:val="1"/>
          <w:color w:val="auto"/>
        </w:rPr>
        <w:t>Designated Officer</w:t>
      </w:r>
      <w:r>
        <w:rPr>
          <w:rFonts w:ascii="Times New Roman" w:cs="Times New Roman" w:eastAsia="Times New Roman" w:hAnsi="Times New Roman"/>
          <w:sz w:val="18"/>
          <w:szCs w:val="18"/>
          <w:color w:val="auto"/>
        </w:rPr>
        <w:t>” means an officer identified on a numbered list of officers of the Corporation who shall be deemed to be, in the order in which they appear on the list, directors of the Corporation, or members of a committee of the Board, as the case may be, to the extent required to obtain a quorum at a meeting, which list of Designated Officers shall be approved by the Board from time to time but in any event prior to such time or times as an Emergency may have occurred.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COMMITTEES</w:t>
      </w:r>
    </w:p>
    <w:p>
      <w:pPr>
        <w:spacing w:after="0" w:line="225"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designate one or more committees, each committee to consist of one or more of the directors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8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Committee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committee shall keep records of its proceedings and make such reports as the Board may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Unless the Board otherwise provides, each committee designated by the Board may make, alter and repeal rules for the conduct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66" w:right="439" w:bottom="1440" w:gutter="0" w:footer="0" w:header="0"/>
        </w:sectPr>
      </w:pPr>
    </w:p>
    <w:bookmarkStart w:id="114" w:name="page115"/>
    <w:bookmarkEnd w:id="114"/>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OFFICERS; CHAIRPERSON; LEAD INDEPENDENT DIRECTOR</w:t>
      </w:r>
    </w:p>
    <w:p>
      <w:pPr>
        <w:spacing w:after="0" w:line="225"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consist of a Chief Executive Officer (who may be the Chairperson of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President), a President, a Secretary and a Treasurer and may consist of such other officers, including, without limitation, a Chief Financial Officer, and one or more Vice Presidents, Assistant Secretaries or Assistant Treasurers, as may from time to time be appointed by the Board. All officers shall be elected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may empower the Chief Executive Officer of the Corporation to appoint any officer other than the Chief Executive Officer, the President, the Chief Financial Officer or the Treasurer. Except as otherwise provided by applicable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(or, if empowered by the Board, the Chief Executive Officer)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187"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control of the Board and such supervisory powers, if any, as may be given by the Board,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powers and duties of the Chief Executive Officer of the Corporation are:</w:t>
      </w:r>
    </w:p>
    <w:p>
      <w:pPr>
        <w:spacing w:after="0" w:line="51" w:lineRule="exact"/>
        <w:rPr>
          <w:sz w:val="20"/>
          <w:szCs w:val="20"/>
          <w:color w:val="auto"/>
        </w:rPr>
      </w:pPr>
    </w:p>
    <w:p>
      <w:pPr>
        <w:ind w:left="1240" w:hanging="253"/>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general supervision, direction and control of the business and affairs of the Corporation; and</w:t>
      </w:r>
    </w:p>
    <w:p>
      <w:pPr>
        <w:spacing w:after="0" w:line="225" w:lineRule="exact"/>
        <w:rPr>
          <w:rFonts w:ascii="Times New Roman" w:cs="Times New Roman" w:eastAsia="Times New Roman" w:hAnsi="Times New Roman"/>
          <w:sz w:val="18"/>
          <w:szCs w:val="18"/>
          <w:color w:val="auto"/>
        </w:rPr>
      </w:pPr>
    </w:p>
    <w:p>
      <w:pPr>
        <w:jc w:val="both"/>
        <w:ind w:firstLine="987"/>
        <w:spacing w:after="0" w:line="261" w:lineRule="auto"/>
        <w:tabs>
          <w:tab w:leader="none" w:pos="125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to have general charge of the property of the Corporation and to supervise and control all officers, agents and employees of the Corporation.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person holding the office of President shall be the Chief Executive Officer of the Corporation unless the Board shall designate another person to be the Chief Executive Officer.</w:t>
      </w:r>
    </w:p>
    <w:p>
      <w:pPr>
        <w:spacing w:after="0" w:line="158"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Chairperson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2.7 of these Bylaws, the Chairperson of the Board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to preside at all meetings of the Board and shall have such other powers and duties as provided in these Bylaws and as the Board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115" w:name="page116"/>
    <w:bookmarkEnd w:id="11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from time to time prescribe. The Chairperson of the Board shall not be deemed an officer of the Corporation unless otherwise determined by the Board.</w:t>
      </w:r>
    </w:p>
    <w:p>
      <w:pPr>
        <w:spacing w:after="0" w:line="158"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Lead Independent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in its discretion, elect a lead independent director from among its members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directors as determined under rules of the exchange upon which the Corporation’s Common Stock is primarily traded (such director, the “</w:t>
      </w:r>
      <w:r>
        <w:rPr>
          <w:rFonts w:ascii="Times New Roman" w:cs="Times New Roman" w:eastAsia="Times New Roman" w:hAnsi="Times New Roman"/>
          <w:sz w:val="18"/>
          <w:szCs w:val="18"/>
          <w:b w:val="1"/>
          <w:bCs w:val="1"/>
          <w:i w:val="1"/>
          <w:iCs w:val="1"/>
          <w:color w:val="auto"/>
        </w:rPr>
        <w:t>Lead Independent Director</w:t>
      </w:r>
      <w:r>
        <w:rPr>
          <w:rFonts w:ascii="Times New Roman" w:cs="Times New Roman" w:eastAsia="Times New Roman" w:hAnsi="Times New Roman"/>
          <w:sz w:val="18"/>
          <w:szCs w:val="18"/>
          <w:color w:val="auto"/>
        </w:rPr>
        <w:t>”). The Lead Independent Director shall preside at all meetings or sessions of independent directors and exercise such other powers and duties as may from time to time be assigned to him or her by the Board or as prescribed by these Bylaws.</w:t>
      </w:r>
    </w:p>
    <w:p>
      <w:pPr>
        <w:spacing w:after="0" w:line="176"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holding the office of Chief Executive Officer shall be the President of the Corporation unless the Board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as the Board or the Chief Executive Officer may from time to time prescribe.</w:t>
      </w:r>
    </w:p>
    <w:p>
      <w:pPr>
        <w:spacing w:after="0" w:line="18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holding the office of Chief Financial Officer shall be the Treasurer of the Corporation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shall have designated another person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176" w:lineRule="exact"/>
        <w:rPr>
          <w:sz w:val="20"/>
          <w:szCs w:val="20"/>
          <w:color w:val="auto"/>
        </w:rPr>
      </w:pPr>
    </w:p>
    <w:p>
      <w:pPr>
        <w:jc w:val="both"/>
        <w:ind w:right="20" w:firstLine="44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4.7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holding the office of Treasurer shall be the Chief Financial Officer of the Corporation unless the Board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designated another person as the Chief Financial Officer of the Corporation.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79"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4.8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Vice President shall have all such powers and duties as are commonly incident to the office of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the Board or the Chief Executive Officer may from time to time prescribe. A Vice President may be designated by the Board to perform the duties and exercise the powers of the President in the event of the President’s absence or disability.</w:t>
      </w:r>
    </w:p>
    <w:p>
      <w:pPr>
        <w:spacing w:after="0" w:line="171"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4.9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shall issue or cause to be issued all authorized notices for, and shall keep, or cause to be kept, minutes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116" w:name="page117"/>
    <w:bookmarkEnd w:id="116"/>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Delegation of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from time to time delegate the powers or duties of any officer of the Corporation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officers or agents of the Corporation, notwithstanding any provision hereof.</w:t>
      </w:r>
    </w:p>
    <w:p>
      <w:pPr>
        <w:spacing w:after="0" w:line="155"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4.11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Removal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officer of the Corporation shall serve at the pleasure of the Board and may be removed at any time, with or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by the Board; provided that if the Board has empowered the Chief Executive Officer to appoint any officer of the Corporation, then such officer may also be removed by the Chief Executive Officer, with or without cause. Such removal shall be without prejudice to the contractual rights of such officer, if any, with the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STOCK</w:t>
      </w:r>
    </w:p>
    <w:p>
      <w:pPr>
        <w:spacing w:after="0" w:line="225"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Certificates; 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capital stock of the Corporation shall be uncertificated shares;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the Chief Financial Officer, any Vice President, the Treasurer, any Assistant Treasurer, the Secretary and any Assistant Secretary of the Corporation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82"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Lost, Stolen or Destroyed Stock Certificates; Issuance of New Certificates or Uncertificated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2"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5.3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Other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applicable law, the Certificate of Incorporation and these Bylaws, the issue, transfer, conversion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of shares represented by certificates and of uncertificated shares shall be governed by such other regulations as the Board may establish (or such other rules and procedures as the Corporation’s transfer agent may require).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6" w:right="4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 INDEMNIFICATION</w:t>
      </w:r>
    </w:p>
    <w:p>
      <w:pPr>
        <w:spacing w:after="0" w:line="225" w:lineRule="exact"/>
        <w:rPr>
          <w:sz w:val="20"/>
          <w:szCs w:val="20"/>
          <w:color w:val="auto"/>
        </w:rPr>
      </w:pPr>
    </w:p>
    <w:p>
      <w:pPr>
        <w:jc w:val="both"/>
        <w:ind w:firstLine="440"/>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auto"/>
        </w:rPr>
        <w:t>Section 6.1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Indemnification of Officers and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who was or is made a party to, or is threatened to be made a party to,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involved in any threatened, pending or completed action, suit or proceeding, whether civil, criminal, administrative, legislative, investigative, preliminary, informal or formal, or any other type whatsoever, including any investigation or any arbitration or other alternative dispute resolution (including but not limited to giving testimony or responding to a subpoena) and including any appeal of any of the foregoing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such person (or a person of whom such person is the legal representative), is or was a director or officer of the Corporation designated by the Board to be entitled to the indemnification and advancement rights set forth in this Article VI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(for purposes of this Article VI,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costs, liability and loss (including attorneys’ fees, judgments, fines, ERISA excise taxes and penalties and amounts paid or to be paid in settlement) reasonably incurred or suffered by such Indemnitee in connection therewith,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Indemnitee acted in good faith and in a manner that the Indemnitee reasonably believed to be in or not opposed to the best interests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with respect to any criminal Proceeding, had no reasonable cause to believe the Indemnitee’s conduct was unlawful. Such indemnification shall continue as to an Indemnitee who has ceased to be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and shall inure to the benefit of such Indemnitees’ heirs, executors and administrators. Notwithstanding the foregoing, subject to Section 6.5 of this Article VI,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in this Article VI, (i) the term the “</w:t>
      </w:r>
      <w:r>
        <w:rPr>
          <w:rFonts w:ascii="Times New Roman" w:cs="Times New Roman" w:eastAsia="Times New Roman" w:hAnsi="Times New Roman"/>
          <w:sz w:val="18"/>
          <w:szCs w:val="18"/>
          <w:b w:val="1"/>
          <w:bCs w:val="1"/>
          <w:i w:val="1"/>
          <w:iCs w:val="1"/>
          <w:color w:val="auto"/>
        </w:rPr>
        <w:t>Reincorporated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Predecessor</w:t>
      </w:r>
      <w:r>
        <w:rPr>
          <w:rFonts w:ascii="Times New Roman" w:cs="Times New Roman" w:eastAsia="Times New Roman" w:hAnsi="Times New Roman"/>
          <w:sz w:val="18"/>
          <w:szCs w:val="18"/>
          <w:color w:val="auto"/>
        </w:rPr>
        <w:t>” means a corporation that is merged with and into the Corporation in a statutory merger where (a) the Corporation is the surviving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of such merger, and (b) the primary purpose of such merger is to change the corporate domicile of the Reincorporated Predecessor to Delaware, and (ii) an “officer” of the Corporation or of a Reincorporated Predecessor means an officer of the Corporation or of a Reincorporated Predecessor elected or appointed by the Board or governing body thereof, as applicable.</w:t>
      </w:r>
    </w:p>
    <w:p>
      <w:pPr>
        <w:spacing w:after="0" w:line="204"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Advancement of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a written indemnification agreement between the Corporation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the Corporation shall pay all reasonable expenses (including attorneys’ fees) incurred by an Indemnitee in defending any Proceeding in advance of its final disposition; provided, however, that the advancement of such expenses (i.e., payment of such expenses as incurred or otherwise in advance of the final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6" w:right="439" w:bottom="1440" w:gutter="0" w:footer="0" w:header="0"/>
        </w:sectPr>
      </w:pPr>
    </w:p>
    <w:bookmarkStart w:id="118" w:name="page119"/>
    <w:bookmarkEnd w:id="118"/>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disposition of the Proceeding) shall be made only upon delivery to the Corporation of an undertaking, by or on behalf of such Indemnitee, to repay such amounts if it shall ultimately be determined by final judicial decision from which there is no appeal that such Indemnitee is not entitled to be indemnified under this Article VI or otherwise. Any advances of expenses or undertakings to repay pursuant to this Section 6.2 shall be unsecured, interest free and without regard to Indemnitee’s ability to pay.</w:t>
      </w:r>
    </w:p>
    <w:p>
      <w:pPr>
        <w:spacing w:after="0" w:line="176"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6.3: Non-Exclusivity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conferred on any person in this Article VI shall not be exclusive of any other right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may have or hereafter acquire under any statute, provision of the Certificate of Incorporation, Bylaws, agreement, vote or consent of stockholders or disinterested directors, or otherwise.</w:t>
      </w:r>
    </w:p>
    <w:p>
      <w:pPr>
        <w:spacing w:after="0" w:line="171"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6.4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Indemnification of Others and Additional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grant rights to indemnification and to the advancement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to any person who is or was a director, officer, employee or agent of the Corporation or Reincorporated Predecessor, or any person who is or was serving at the request of the Corporation as a director, officer, employee, agent or trustee of another corporation, partnership, joint venture, trust or other enterprise or non-profit entity, including employee benefit plans. Such rights may be greater than those provided in this Article VI.</w:t>
      </w:r>
    </w:p>
    <w:p>
      <w:pPr>
        <w:spacing w:after="0" w:line="176"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6.5: Right of Indemnitee to Bring Suit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shall apply to the extent not in conflict with any written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Corporation and the Indemnitee:</w:t>
      </w:r>
    </w:p>
    <w:p>
      <w:pPr>
        <w:spacing w:after="0" w:line="51"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6.5.1 </w:t>
      </w:r>
      <w:r>
        <w:rPr>
          <w:rFonts w:ascii="Times New Roman" w:cs="Times New Roman" w:eastAsia="Times New Roman" w:hAnsi="Times New Roman"/>
          <w:sz w:val="18"/>
          <w:szCs w:val="18"/>
          <w:u w:val="single" w:color="auto"/>
          <w:color w:val="auto"/>
        </w:rPr>
        <w:t>Right to Bring Suit</w:t>
      </w:r>
      <w:r>
        <w:rPr>
          <w:rFonts w:ascii="Times New Roman" w:cs="Times New Roman" w:eastAsia="Times New Roman" w:hAnsi="Times New Roman"/>
          <w:sz w:val="18"/>
          <w:szCs w:val="18"/>
          <w:color w:val="auto"/>
        </w:rPr>
        <w:t>. If a claim under Section 6.1 or 6.2 of this Article VI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applicable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applicable law. In any suit brought by the Corporation to recover the advancement of expenses pursuant to the terms of an undertaking, the Corporation shall be entitled to recover such expenses upon a final adjudication that, the Indemnitee has not met any applicable standard for indemnification set forth in applicable law.</w:t>
      </w:r>
    </w:p>
    <w:p>
      <w:pPr>
        <w:spacing w:after="0" w:line="194"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6.5.2 </w:t>
      </w:r>
      <w:r>
        <w:rPr>
          <w:rFonts w:ascii="Times New Roman" w:cs="Times New Roman" w:eastAsia="Times New Roman" w:hAnsi="Times New Roman"/>
          <w:sz w:val="18"/>
          <w:szCs w:val="18"/>
          <w:u w:val="single" w:color="auto"/>
          <w:color w:val="auto"/>
        </w:rPr>
        <w:t>Effect of Determination</w:t>
      </w:r>
      <w:r>
        <w:rPr>
          <w:rFonts w:ascii="Times New Roman" w:cs="Times New Roman" w:eastAsia="Times New Roman" w:hAnsi="Times New Roman"/>
          <w:sz w:val="18"/>
          <w:szCs w:val="18"/>
          <w:color w:val="auto"/>
        </w:rPr>
        <w:t>. Neither the absence of a determination by or on behalf of the Corporation prior to the commencement of such suit that indemnification of the Indemnitee is proper in the circumstances because the Indemnitee has met the applicable standard of conduct set forth in applicable law, nor an actual determination by or on behalf of the Corporation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6.5.3 </w:t>
      </w:r>
      <w:r>
        <w:rPr>
          <w:rFonts w:ascii="Times New Roman" w:cs="Times New Roman" w:eastAsia="Times New Roman" w:hAnsi="Times New Roman"/>
          <w:sz w:val="18"/>
          <w:szCs w:val="18"/>
          <w:u w:val="single" w:color="auto"/>
          <w:color w:val="auto"/>
        </w:rPr>
        <w:t>Burden of Proof</w:t>
      </w:r>
      <w:r>
        <w:rPr>
          <w:rFonts w:ascii="Times New Roman" w:cs="Times New Roman" w:eastAsia="Times New Roman" w:hAnsi="Times New Roman"/>
          <w:sz w:val="18"/>
          <w:szCs w:val="18"/>
          <w:color w:val="auto"/>
        </w:rPr>
        <w:t>. In any suit brought by the Indemnitee to enforce a right to indemnification or to an advancement of expenses hereunder, or brought by the Corporation to recover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119" w:name="page120"/>
    <w:bookmarkEnd w:id="119"/>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58"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6.6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Nature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conferred upon Indemnitees in this Article VI shall be contract rights and such rights shall continue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 Indemnitee who has ceased to be a director or officer and shall inure to the benefit of the Indemnitee’s heirs, executors and administrators.</w:t>
      </w:r>
    </w:p>
    <w:p>
      <w:pPr>
        <w:spacing w:after="0" w:line="155"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6.7: Amendment or Repeal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amendment, repeal or modification of any provision of this Article VI that adversely affects any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Indemnitee or an Indemnitee’s successors shall be prospective only, and shall not adversely affect any right or protection conferred on a person pursuant to this Article VI and existing at the time of such amendment, repeal or modification.</w:t>
      </w:r>
    </w:p>
    <w:p>
      <w:pPr>
        <w:spacing w:after="0" w:line="171"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6.8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purchase and maintain insurance, at its expense, to protect itself and any director, officer,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agent of the Corporation or another corporation, partnership, joint venture, trust or other enterprise or non-profit entity against any expense, liability or loss, whether or not the Corporation would have the power to indemnify such person against such expense, liability or loss under the DGCL.</w:t>
      </w:r>
    </w:p>
    <w:p>
      <w:pPr>
        <w:spacing w:after="0" w:line="171" w:lineRule="exact"/>
        <w:rPr>
          <w:sz w:val="20"/>
          <w:szCs w:val="20"/>
          <w:color w:val="auto"/>
        </w:rPr>
      </w:pPr>
    </w:p>
    <w:p>
      <w:pPr>
        <w:jc w:val="both"/>
        <w:ind w:left="4" w:firstLine="44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6.9: Indemnification for Successful Defense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that an Indemnitee has been successful on the merits or otherwise in defense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Proceeding (or in defense of any claim, issue or matter therein), such Indemnitee shall be indemnified under this Section 6.9 against expenses (including attorneys’ fees) actually and reasonably incurred in connection with such defense. Indemnification under this Section 6.9 shall not be subject to satisfaction of a standard of conduct, and the Corporation may not assert the failure to satisfy a standard of conduct as a basis to deny indemnification or recover amounts advanced, including in a suit brought pursuant to Section 6.5 (notwithstanding anything to the contrary therein); provided, however, that, any Indemnitee who is not a current or former director or officer (as such term is defined in the final sentence of Section 145(c)(1) of the DGCL) shall be entitled to indemnification under Section 6.1 and this Section 6.9 only if such Indemnitee has satisfied the applicable standard of conduct required for indemnification under Section 145(a) or Section 145(b) of the DGCL.</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 NOTICES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u w:val="single" w:color="auto"/>
          <w:color w:val="auto"/>
        </w:rPr>
        <w:t>Section 7.1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Form and Delivery</w:t>
      </w:r>
      <w:r>
        <w:rPr>
          <w:rFonts w:ascii="Times New Roman" w:cs="Times New Roman" w:eastAsia="Times New Roman" w:hAnsi="Times New Roman"/>
          <w:sz w:val="18"/>
          <w:szCs w:val="18"/>
          <w:color w:val="auto"/>
        </w:rPr>
        <w:t>. Except as otherwise required by applicable law, notice may be given in writing directed to a stockholder’s mailing address as it appears on the records of the Corporation and shall be given: (a) if mailed, when notice is deposited in the U.S. mail, postage prepaid; and</w:t>
      </w:r>
    </w:p>
    <w:p>
      <w:pPr>
        <w:jc w:val="both"/>
        <w:ind w:left="4" w:hanging="4"/>
        <w:spacing w:after="0" w:line="252" w:lineRule="auto"/>
        <w:tabs>
          <w:tab w:leader="none" w:pos="2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by courier service, the earlier of when the notice is received or left at such stockholder’s address. So long as the Corporation is subject to the Securities and Exchange Commission’s proxy rules set forth in Regulation 14A under the Exchange Act, notice shall be given in the manner required by such rules. To the extent permitted by such rules, or if the Corporation is not subject to Regulation 14A, notice may be given by electronic mail directed to the stockholder’s electronic mail address as it appears on the records of the Corporation,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DGCL. If notice is given by electronic mail, such notice shall comply with the applicable provisions 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120" w:name="page121"/>
    <w:bookmarkEnd w:id="12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Sections 232(a) and 232(d) of the DGCL. Notice may be given by other forms of electronic transmission with the consent of a stockholder in the manner permitted by Section 232(b) of the DGCL and shall be deemed given as provided therein.</w:t>
      </w:r>
    </w:p>
    <w:p>
      <w:pPr>
        <w:spacing w:after="0" w:line="162"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Affidavit of Giving Notice</w:t>
      </w:r>
      <w:r>
        <w:rPr>
          <w:rFonts w:ascii="Times New Roman" w:cs="Times New Roman" w:eastAsia="Times New Roman" w:hAnsi="Times New Roman"/>
          <w:sz w:val="18"/>
          <w:szCs w:val="18"/>
          <w:color w:val="auto"/>
        </w:rPr>
        <w:t>. An affidavit of the Secretary or an Assistant Secretary of the Corporation or of the transfer agent or other agent of the Corporation that the notice has been given shall, in the absence of fraud, be prima facie evidence of the facts stated therein.</w:t>
      </w:r>
    </w:p>
    <w:p>
      <w:pPr>
        <w:spacing w:after="0" w:line="158" w:lineRule="exact"/>
        <w:rPr>
          <w:sz w:val="20"/>
          <w:szCs w:val="20"/>
          <w:color w:val="auto"/>
        </w:rPr>
      </w:pPr>
    </w:p>
    <w:p>
      <w:pPr>
        <w:jc w:val="both"/>
        <w:ind w:firstLine="44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7.2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notice is required to be given under any provision of the DGCL, the Certificate of Incorporation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MISCELLANEOUS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Section 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of the Corporation shall be determined by resolution of the Board.</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provide for a corporate seal, which may have the name of the Corporation inscribed thereon and shall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 such form as may be approved from time to time by the Board.</w:t>
      </w:r>
    </w:p>
    <w:p>
      <w:pPr>
        <w:spacing w:after="0" w:line="155"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8.3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Form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records administered by or on behalf of the Corporation in the regular course of its business, including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79"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8.4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Reliance Upon Books and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member of the Board, or a member of any committee designated by the Board shall,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79"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8.5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Certificate of Incorporation Governs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any conflict between the provisions of the Certificate of Incorporation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the provisions of the Certificate of Incorporation shall govern.</w:t>
      </w:r>
    </w:p>
    <w:p>
      <w:pPr>
        <w:spacing w:after="0" w:line="155"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8.6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provision of these Bylaws shall be held to be invalid, illegal, unenforceable or in conflict with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Certificate of Incorporation, then such provision shall nonetheless be enforced to the maximum extent possible consistent with such</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121" w:name="page122"/>
    <w:bookmarkEnd w:id="12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72"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8.7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Time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applying any provision of these Bylaws which requires that an act be done or not be done a specified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prior to an event or that an act be done during a period of a specified number of days prior to an event, calendar days shall be used (unless otherwise specified herein), the day of the doing of the act shall be excluded, and the day of the event shall be included.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AMENDMENT</w:t>
      </w:r>
    </w:p>
    <w:p>
      <w:pPr>
        <w:spacing w:after="0" w:line="229"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CHOICE OF FORUM; EXCLUSIVE FORUM</w:t>
      </w:r>
    </w:p>
    <w:p>
      <w:pPr>
        <w:spacing w:after="0" w:line="229"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(i) any derivative action or proceeding brought on behalf of the Corporation; (ii) any action asserting a claim that is based upon a breach of a fiduciary duty owed by, or other wrongdoing by, any current or former director, officer, stockholder, employee or agent of the Corporation to the Corporation or the Corporation’s stockholders; (iii) any action asserting a claim against the Corporation or any current or former director, officer, stockholder, employee or agent of the Corporation arising pursuant to any provision of the General Corporation Law, the Certificate of Incorporation or these Bylaws or as to which the General Corporation Law confers jurisdiction on the Court of Chancery of the State of Delaware; (iv) any action to interpret, apply, enforce or determine the validity of the Certificate of Incorporation or these Bylaws; (v) any action asserting a claim against the Corporation governed by the internal affairs doctrine; or (vi) any action asserting an “internal corporate claim” as that term is defined in Section 115 of the General Corporation Law. Unless the Corporation consents in writing to the selection of an alternative forum, the federal district courts of the United States of America shall be the exclusive forum for the resolution of any complaint asserting a cause of action arising under the Securities Act, or any successor thereto. Any person or entity purchasing or otherwise acquiring or holding any interest in shares of capital stock of the Corporation shall be deemed to have notice of and to have consented to the provisions of this Article X. Failure to enforce the foregoing provisions of this Article X would cause the Corporation irreparable harm, and the Corporation shall be entitled to equitable relief, including injunctive relief and specific performance, to enforce the foregoing provisions.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CERTIFICATION OF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TRACKS BIOTHERAPEUTICS, INC.</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I, Daniel Faga, certify that I am Secretary of First Tracks Biotherapeutics, Inc., a Delaware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that I am duly authorized to make and deliver this certification, that the attached Bylaws are a true and complete copy of the Bylaws of the Corporation in effect as of the date of this certificate.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20,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Daniel Faga</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000"/>
          </w:cols>
          <w:pgMar w:left="440" w:top="266" w:right="45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TRANSITION SERVICES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ANAPTYSBIO,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April 20, 2026</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NO AGREEMENT, ORAL OR WRITTEN, REGARDING OR RELATING TO ANY OF THE MATTERS COVERED BY THIS DRAFT AGREEMENT HAS BEEN ENTERED INTO BETWEEN THE PARTIES. THIS DOCUMENT, IN ITS PRESENT FORM OR AS IT MAY BE HEREAFTER REVISED BY ANY PARTY, WILL NOT BECOME A BINDING AGREEMENT OF THE PARTIES UNLESS AND UNTIL IT HAS BEEN SIGNED BY ALL PARTIES. THE EFFECT OF THIS LEGEND MAY NOT BE CHANGED BY ANY ACTION OF THE PARTIES.</w:t>
      </w:r>
    </w:p>
    <w:p>
      <w:pPr>
        <w:spacing w:after="0" w:line="17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TRANSITION SERVICES AGREEMENT HAS BEEN OMITTED BY MEANS OF REDACTING A PORTION OF THE TEXT AND REPLACING IT WITH [***], PURSUANT TO REGULATION S-K ITEM 601(B) OF THE SECURITIES ACT OF 1933, AS AMENDED. CERTAIN CONFIDENTIAL INFORMATION HAS BEEN EXCLUDED FROM THE EXHIBIT BECAUSE IT IS: (i) NOT MATERIAL AND (ii) WOULD BE COMPETITIVELY HARMFUL IF PUBLICLY DISCLOSED.</w:t>
      </w:r>
    </w:p>
    <w:p>
      <w:pPr>
        <w:sectPr>
          <w:pgSz w:w="11900" w:h="16838" w:orient="portrait"/>
          <w:cols w:equalWidth="0" w:num="1">
            <w:col w:w="11020"/>
          </w:cols>
          <w:pgMar w:left="440" w:top="117" w:right="439" w:bottom="1440" w:gutter="0" w:footer="0" w:header="0"/>
        </w:sectPr>
      </w:pPr>
    </w:p>
    <w:bookmarkStart w:id="124" w:name="page125"/>
    <w:bookmarkEnd w:id="124"/>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DEFINITIONS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7"/>
        </w:trPr>
        <w:tc>
          <w:tcPr>
            <w:tcW w:w="10560" w:type="dxa"/>
            <w:vAlign w:val="bottom"/>
            <w:gridSpan w:val="2"/>
            <w:vMerge w:val="continue"/>
          </w:tcPr>
          <w:p>
            <w:pPr>
              <w:spacing w:after="0"/>
              <w:rPr>
                <w:sz w:val="16"/>
                <w:szCs w:val="16"/>
                <w:color w:val="auto"/>
              </w:rPr>
            </w:pPr>
          </w:p>
        </w:tc>
        <w:tc>
          <w:tcPr>
            <w:tcW w:w="4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Defined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1.02.</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SERVICES, DURATION AND SERVICES MANAGERS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2.02.</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Duration of 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2.03.</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Unspecified 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2.04.</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Transition Services Managers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2.05.</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Limitations on Provision of 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2.06.</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Availability of SpinCo Personnel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THIRD-PARTY CONSENTS AND LICENSES; INTELLECTUAL PROPERTY; LOCAL IMPLEMENTING 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Third-Party Consents and Licenses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3.02.</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3.03.</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Local Implementing 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02"/>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ACCESS</w:t>
            </w:r>
          </w:p>
        </w:tc>
        <w:tc>
          <w:tcPr>
            <w:tcW w:w="87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4.01.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Access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0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COSTS AND DISBURSEMENTS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 and Disbursements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5.02.</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Right to Set-Off</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5.03.</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5.04.</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 Employees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0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STANDARD FOR SERVICE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Standard for Service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6.02.</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Third Parties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6.03.</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Maintenance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6.04.</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Modifications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6.05.</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Disclaimer of Warranties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6.06.</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Laws and Regulations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6.07.</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Professional 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6.08.</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Reporting Obligations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DISPUTE RESOLUTION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7.01.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Dispute Resolution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2"/>
        </w:trPr>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LIMITED LIABILITY AND INDEMNIFICATION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8.01.</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of Liability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8.02.</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RemainCo Indemnification Obligation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8"/>
        </w:trPr>
        <w:tc>
          <w:tcPr>
            <w:tcW w:w="18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8.03.</w:t>
            </w:r>
          </w:p>
        </w:tc>
        <w:tc>
          <w:tcPr>
            <w:tcW w:w="8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SpinCo Indemnification Obligation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8.04.</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Indemnification Procedure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8.05.</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Liability for Payment Obligations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8.06.</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Exclusion of Other Remedies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8"/>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8.07.</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Mitigation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2"/>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TERM AND TERMINATION; EXTENSION OF SERVICE PERIOD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9.01.</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 and Termination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9.02.</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Termination of Services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9.03.</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Force Majeure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8"/>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9.04.</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Extension of Service Period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2"/>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GENERAL PROVISIONS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10.01.</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Independent Contractors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10.02.</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Subcontractors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10.03.</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Treatment of Confidential Information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10.04.</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Further Assurances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10.05.</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Rules of Construction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10.06.</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10.07.</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Severability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10.08.</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Assignment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10.09.</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10.10.</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Entire Agreement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10.11.</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10.12.</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10.13.</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10.14.</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Non-Recourse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8"/>
        </w:trPr>
        <w:tc>
          <w:tcPr>
            <w:tcW w:w="1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Section 10.15.</w:t>
            </w:r>
          </w:p>
        </w:tc>
        <w:tc>
          <w:tcPr>
            <w:tcW w:w="6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Schedule A - Services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TRANSITION SERVICES AGREEMENT</w:t>
      </w:r>
    </w:p>
    <w:p>
      <w:pPr>
        <w:spacing w:after="0" w:line="229"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This TRANSITION SERVICES AGREEMENT, dated April 20, 2026 (as amended, modified or supplemented from time to time in accordance with its terms,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by and between AnaptysBio, Inc., a Delaware corporation (“</w:t>
      </w:r>
      <w:r>
        <w:rPr>
          <w:rFonts w:ascii="Times New Roman" w:cs="Times New Roman" w:eastAsia="Times New Roman" w:hAnsi="Times New Roman"/>
          <w:sz w:val="18"/>
          <w:szCs w:val="18"/>
          <w:u w:val="single" w:color="auto"/>
          <w:color w:val="auto"/>
        </w:rPr>
        <w:t>RemainCo</w:t>
      </w:r>
      <w:r>
        <w:rPr>
          <w:rFonts w:ascii="Times New Roman" w:cs="Times New Roman" w:eastAsia="Times New Roman" w:hAnsi="Times New Roman"/>
          <w:sz w:val="18"/>
          <w:szCs w:val="18"/>
          <w:color w:val="auto"/>
        </w:rPr>
        <w:t>”), and First Tracks Biotherapeutics, Inc., a Delaware corporation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Unless otherwise defined herein, all capitalized terms used herein shall have the same meanings as in the Separation Agreement (as defined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WHEREAS, RemainCo and SpinCo have entered into that certain Separation and Distribution Agreement, dated as of April 20,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modified or supplemented from time to time in accordance with its terms,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WHEREAS, in furtherance of the transactions contemplated by the Separation Agreement, the Parties (as defined below) desire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SpinCo shall provide or cause to be provided to RemainCo or to the other members of the RemainCo Group (as defined below), as applicable (RemainCo and such other members of the RemainCo Group collectively hereinafter referred to as the “</w:t>
      </w:r>
      <w:r>
        <w:rPr>
          <w:rFonts w:ascii="Times New Roman" w:cs="Times New Roman" w:eastAsia="Times New Roman" w:hAnsi="Times New Roman"/>
          <w:sz w:val="18"/>
          <w:szCs w:val="18"/>
          <w:u w:val="single" w:color="auto"/>
          <w:color w:val="auto"/>
        </w:rPr>
        <w:t>RemainCo Entities</w:t>
      </w:r>
      <w:r>
        <w:rPr>
          <w:rFonts w:ascii="Times New Roman" w:cs="Times New Roman" w:eastAsia="Times New Roman" w:hAnsi="Times New Roman"/>
          <w:sz w:val="18"/>
          <w:szCs w:val="18"/>
          <w:color w:val="auto"/>
        </w:rPr>
        <w:t>”) certain services, access to systems and other assistance on a transitional basis and in accordance with the terms and subject to the conditions set forth herein.</w:t>
      </w:r>
    </w:p>
    <w:p>
      <w:pPr>
        <w:spacing w:after="0" w:line="180"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set forth in this Agreement, and for other good and valuable consideration, the receipt and sufficiency of which are acknowledged, the Parties, intending to be legally bound, agree as follows: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The following capitalized terms used in this Agreement shall have the meanings set forth below:</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Service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has the meaning given to such term in the Separation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avoidance of doubt, after the time of the Distribution, neither RemainCo nor any of its respective Subsidiaries shall be deemed to be an Affiliate of SpinCo.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the principal offices of the SEC in Washington, DC are open to accept filings other than a day on which banking institutions located in New York, New York are permitted or required by Law to remain closed.</w:t>
      </w:r>
    </w:p>
    <w:p>
      <w:pPr>
        <w:spacing w:after="0" w:line="162"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(i) dishonesty with respect to SpinCo, RemainCo or any of their respective Affiliates, (ii) insubordination, substantial malfeasance or non-feasance of duty, (iii) unauthorized disclosure of confidential information, (iv) breach by such Service Employee of any provision of any employment, consulting, advisory, nondisclosure, non-competition or similar agreement between the Service Employee and SpinCo or any Affiliate and (v) conduct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27" w:name="page128"/>
    <w:bookmarkEnd w:id="12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substantially prejudicial to the business of SpinCo, RemainCo or any of their respective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provision in an agreement between a Service Employee and SpinCo or one of its Affiliates, which contains a conflicting definition of “Cause” for termination and which is in effect at the time of such termination, shall supersede this definition with respect to that Service Employee.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closing of the Distribution occurs, subject to the terms and conditions of the Separation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non-public, confidential or proprietary information concerning a Party and/or its Subsidiaries or with respect to the RemainCo, the Royalty Business, any RemainCo Assets or any RemainCo Liabilities, or with respect to SpinCo, the SpinCo Business, any SpinCo Assets or any SpinCo Liabilities, which, prior to or following the Distribution, has been disclosed by a Party or its Subsidiaries to another Party or its Subsidiaries, or otherwise has come into the possession of, the other, existing or otherwise provided in a database or in a storage medium, permanent or temporary, intended for confidential, proprietary and/or privileged use by a Party (except to the extent that such Confidential Information can be shown to have been (a) in the public domain or known to the public through no fault of the receiving Party or its Subsidiaries, (b) lawfully acquired by the receiving Party or its Subsidiaries from sources other than the disclosing Party or its Subsidiaries not known to be subject to confidentiality obligations with respect to such Confidential Information or (c) independently developed by the receiving Party or its Affiliates after the time of the Distribution without reference to or use of any Confidential Information). As used herein, by example and without limitation, Confidential Information shall mean any information of a Party marked as confidential, proprietary and/or privileged.</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has the meaning set forth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means the day on which the Distribution is effected.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court, nation, government, any state or other political subdivision thereof and any entity exercising executive, legislative, judicial, regulatory or administrative functions of, or pertaining to or on behalf of, government.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the RemainCo Group or the SpinCo Group, as applicable.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means a SpinCo Indemnified Party or a RemainCo Indemnified Party.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Implementing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28" w:name="page129"/>
    <w:bookmarkEnd w:id="12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Nonparty Affiliates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RemainCo and SpinCo individually,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RemainCo and SpinCo collectively, and, in each case, their respective permitted successors and assigns.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with respect to a Service or Additional Service, RemainCo, its Affiliate, or other members of the RemainCo Group, as applicable, to whom such Service or Additional Service is being provided or is required to be provided under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Business</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Entities</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Group</w:t>
      </w:r>
      <w:r>
        <w:rPr>
          <w:rFonts w:ascii="Times New Roman" w:cs="Times New Roman" w:eastAsia="Times New Roman" w:hAnsi="Times New Roman"/>
          <w:sz w:val="18"/>
          <w:szCs w:val="18"/>
          <w:color w:val="auto"/>
        </w:rPr>
        <w:t>” means RemainCo, each Person that is a Subsidiary of RemainCo and each Person that becomes a Subsidiary of RemainCo following the date of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RemainCo Services Manager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the schedules attached hereto, as amended, modified or supplemented from time to time in accordance with the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Employees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Employee End Date</w:t>
      </w:r>
      <w:r>
        <w:rPr>
          <w:rFonts w:ascii="Times New Roman" w:cs="Times New Roman" w:eastAsia="Times New Roman" w:hAnsi="Times New Roman"/>
          <w:sz w:val="18"/>
          <w:szCs w:val="18"/>
          <w:color w:val="auto"/>
        </w:rPr>
        <w:t>” shall have the meaning set forth in Section 5.04(b).</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Taxes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shall have the meaning set forth in the Preamble.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29" w:name="page130"/>
    <w:bookmarkEnd w:id="12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SpinCo Business</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Entities</w:t>
      </w:r>
      <w:r>
        <w:rPr>
          <w:rFonts w:ascii="Times New Roman" w:cs="Times New Roman" w:eastAsia="Times New Roman" w:hAnsi="Times New Roman"/>
          <w:sz w:val="18"/>
          <w:szCs w:val="18"/>
          <w:color w:val="auto"/>
        </w:rPr>
        <w:t>” means SpinCo and any of its Subsidiaries.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Group</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Services Manager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any other Person with respect to which the first Person (a) has the right to elect a majority of the board of directors or other Persons performing similar functions or (b) beneficially owns more than fifty percent (50%) of the voting stock (or of any other form of voting or controlling equity interest in the case of a Person that is not a corporation), in each case, directly or indirectly through one or more other Persons.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has the meaning given to such term in the Separation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Authority having jurisdiction over the assessment, determination, collection or imposition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Tax.</w:t>
      </w:r>
    </w:p>
    <w:p>
      <w:pPr>
        <w:spacing w:after="0" w:line="207"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Charges</w:t>
      </w:r>
      <w:r>
        <w:rPr>
          <w:rFonts w:ascii="Times New Roman" w:cs="Times New Roman" w:eastAsia="Times New Roman" w:hAnsi="Times New Roman"/>
          <w:sz w:val="18"/>
          <w:szCs w:val="18"/>
          <w:color w:val="auto"/>
        </w:rPr>
        <w:t>” means any and all costs, fees or expenses payable, directly by SpinCo with respect to a Service to any unaffiliated, third-party provider as a result of the early termination or reduction of the Service Period duration of such Service (without prejudice to RemainCo’s rights with respect to a Force Majeure Event).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TSA Dispute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u w:val="single" w:color="auto"/>
          <w:color w:val="auto"/>
        </w:rPr>
        <w:t>Other Terms</w:t>
      </w:r>
      <w:r>
        <w:rPr>
          <w:rFonts w:ascii="Times New Roman" w:cs="Times New Roman" w:eastAsia="Times New Roman" w:hAnsi="Times New Roman"/>
          <w:sz w:val="18"/>
          <w:szCs w:val="18"/>
          <w:color w:val="auto"/>
        </w:rPr>
        <w:t>. Each of the other capitalized terms used in this Agreement has the meaning set forth where such term is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or, if no meaning is set forth, the meaning required by the context in which such term is used.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SERVICES, DURATION AND SERVICES MANAGERS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7"/>
        <w:spacing w:after="0" w:line="282" w:lineRule="auto"/>
        <w:tabs>
          <w:tab w:leader="none" w:pos="1252"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the terms and subject to the conditions of this Agreement, SpinCo shall provide, or shall cause to be provided, to the RemainCo Entities the services and access to systems as set forth, respectively,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Services shall be for the sole use and benefit of the relevant Recipient.</w:t>
      </w:r>
    </w:p>
    <w:p>
      <w:pPr>
        <w:spacing w:after="0" w:line="221"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u w:val="single" w:color="auto"/>
          <w:color w:val="auto"/>
        </w:rPr>
        <w:t>Duration of Services</w:t>
      </w:r>
      <w:r>
        <w:rPr>
          <w:rFonts w:ascii="Times New Roman" w:cs="Times New Roman" w:eastAsia="Times New Roman" w:hAnsi="Times New Roman"/>
          <w:sz w:val="18"/>
          <w:szCs w:val="18"/>
          <w:color w:val="auto"/>
        </w:rPr>
        <w:t>. Upon the terms and subject to the conditions of this Agreement, SpinCo shall provide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to the relevant Recipient each Service until the earliest to occur of, with respect to each such Service, (a) the expiration of the period of duration for such Service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(with respect to each Service, a “</w:t>
      </w:r>
      <w:r>
        <w:rPr>
          <w:rFonts w:ascii="Times New Roman" w:cs="Times New Roman" w:eastAsia="Times New Roman" w:hAnsi="Times New Roman"/>
          <w:sz w:val="18"/>
          <w:szCs w:val="18"/>
          <w:u w:val="single" w:color="auto"/>
          <w:color w:val="auto"/>
        </w:rPr>
        <w:t>Service Period</w:t>
      </w:r>
      <w:r>
        <w:rPr>
          <w:rFonts w:ascii="Times New Roman" w:cs="Times New Roman" w:eastAsia="Times New Roman" w:hAnsi="Times New Roman"/>
          <w:sz w:val="18"/>
          <w:szCs w:val="18"/>
          <w:color w:val="auto"/>
        </w:rPr>
        <w:t xml:space="preserve">”); (b) the date on which such Service is terminated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or (c) the date on which this Agreement is terminated in accordance with</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30" w:name="page131"/>
    <w:bookmarkEnd w:id="130"/>
    <w:p>
      <w:pPr>
        <w:jc w:val="both"/>
        <w:ind w:left="4"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relevant Recipient shall use its reasonable efforts in good faith to transition itself to a replacement service, system or facility with respect to each Service as soon as reasonably practicable prior to the end of the Service Period for each such Service.</w:t>
      </w:r>
    </w:p>
    <w:p>
      <w:pPr>
        <w:spacing w:after="0" w:line="158" w:lineRule="exact"/>
        <w:rPr>
          <w:sz w:val="20"/>
          <w:szCs w:val="20"/>
          <w:color w:val="auto"/>
        </w:rPr>
      </w:pPr>
    </w:p>
    <w:p>
      <w:pPr>
        <w:jc w:val="both"/>
        <w:ind w:left="4"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2.03. </w:t>
      </w:r>
      <w:r>
        <w:rPr>
          <w:rFonts w:ascii="Times New Roman" w:cs="Times New Roman" w:eastAsia="Times New Roman" w:hAnsi="Times New Roman"/>
          <w:sz w:val="18"/>
          <w:szCs w:val="18"/>
          <w:u w:val="single" w:color="auto"/>
          <w:color w:val="auto"/>
        </w:rPr>
        <w:t>Additional Unspecified Services</w:t>
      </w:r>
      <w:r>
        <w:rPr>
          <w:rFonts w:ascii="Times New Roman" w:cs="Times New Roman" w:eastAsia="Times New Roman" w:hAnsi="Times New Roman"/>
          <w:sz w:val="18"/>
          <w:szCs w:val="18"/>
          <w:color w:val="auto"/>
        </w:rPr>
        <w:t>. If, after the date hereof, RemainCo identifies to SpinCo in writing a Service that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SpinCo Assets (as defined in the Separation Agreement), including any SpinCo personnel, provided or caused to be provided to the Royalty Business during the twelve (12) month period prior to the Distribution Date that RemainCo reasonably and in good faith believes would be necessary or reasonably useful in order for the Royalty Business to continue to operate in substantially the same manner in which RemainCo operated in the twelve</w:t>
      </w:r>
    </w:p>
    <w:p>
      <w:pPr>
        <w:spacing w:after="0" w:line="3" w:lineRule="exact"/>
        <w:rPr>
          <w:sz w:val="20"/>
          <w:szCs w:val="20"/>
          <w:color w:val="auto"/>
        </w:rPr>
      </w:pPr>
    </w:p>
    <w:p>
      <w:pPr>
        <w:jc w:val="both"/>
        <w:ind w:left="4" w:hanging="4"/>
        <w:spacing w:after="0" w:line="251" w:lineRule="auto"/>
        <w:tabs>
          <w:tab w:leader="none" w:pos="34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 period prior to the Distribution Date, and such Service is not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then, in each case, SpinCo shall provide (or cause to be provided) such requested Service (each such additional service, an “</w:t>
      </w:r>
      <w:r>
        <w:rPr>
          <w:rFonts w:ascii="Times New Roman" w:cs="Times New Roman" w:eastAsia="Times New Roman" w:hAnsi="Times New Roman"/>
          <w:sz w:val="18"/>
          <w:szCs w:val="18"/>
          <w:u w:val="single" w:color="auto"/>
          <w:color w:val="auto"/>
        </w:rPr>
        <w:t>Additional Service</w:t>
      </w:r>
      <w:r>
        <w:rPr>
          <w:rFonts w:ascii="Times New Roman" w:cs="Times New Roman" w:eastAsia="Times New Roman" w:hAnsi="Times New Roman"/>
          <w:sz w:val="18"/>
          <w:szCs w:val="18"/>
          <w:color w:val="auto"/>
        </w:rPr>
        <w:t>”) to RemainCo in a manner consistent with the terms of this Agreement and at such cost and on such other terms as shall be mutually agreed by RemainCo and SpinCo (</w:t>
      </w:r>
      <w:r>
        <w:rPr>
          <w:rFonts w:ascii="Times New Roman" w:cs="Times New Roman" w:eastAsia="Times New Roman" w:hAnsi="Times New Roman"/>
          <w:sz w:val="18"/>
          <w:szCs w:val="18"/>
          <w:u w:val="single" w:color="auto"/>
          <w:color w:val="auto"/>
        </w:rPr>
        <w:t>it being understood</w:t>
      </w:r>
      <w:r>
        <w:rPr>
          <w:rFonts w:ascii="Times New Roman" w:cs="Times New Roman" w:eastAsia="Times New Roman" w:hAnsi="Times New Roman"/>
          <w:sz w:val="18"/>
          <w:szCs w:val="18"/>
          <w:color w:val="auto"/>
        </w:rPr>
        <w:t xml:space="preserve"> that if RemainCo and SpinCo fail to reach agreement on such terms, SpinCo will nonetheless remain obligated to provide the requested Service on the terms hereof using the cost methodology described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utilizing substantially similar methodology as used to determine the pricing and terms of the most similar Services provided hereunder. The Parties shall enter into a supplement to the Schedule which shall describe in reasonable detail the nature, scope, Service Period(s), Service Charges, termination provisions (including, if applicable, Termination Charges) and other terms applicable to such Additional Service in a manner similar to that in which the Services are described in the existing Schedules. Each supplement to the applicable Schedule, as agreed to in writing by the Parties, shall be deemed part of this Agreement as of the date of such agreement and the Additional Service set forth therein shall be deemed a “Service” provided under this Agreement, in each case subject to the terms and conditions of this Agreement and the relevant supplement. Notwithstanding the foregoing, (i) a Party shall have the right to request any Additional Services for the duration of the term of the Agreement, but (ii) in no event shall a Party provide, or cause to be provided, such Additional Services for a Service Period that extends beyond the latest date permitted under any applicable Law. Notwithstanding anything to the contrary in this Agreement but subject to each Party’s compliance with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SpinCo shall not be required to perform any obligation under this Agreement that would result in the breach or violation of any applicable Law.</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Section 2.04. </w:t>
      </w:r>
      <w:r>
        <w:rPr>
          <w:rFonts w:ascii="Times New Roman" w:cs="Times New Roman" w:eastAsia="Times New Roman" w:hAnsi="Times New Roman"/>
          <w:sz w:val="18"/>
          <w:szCs w:val="18"/>
          <w:u w:val="single" w:color="auto"/>
          <w:color w:val="auto"/>
        </w:rPr>
        <w:t>Transition Services Managers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987"/>
        <w:spacing w:after="0" w:line="255" w:lineRule="auto"/>
        <w:tabs>
          <w:tab w:leader="none" w:pos="1257"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RemainCo shall designate its initial services manager by written notice to SpinCo within five (5) Business Days after the Distribution Date (the “</w:t>
      </w:r>
      <w:r>
        <w:rPr>
          <w:rFonts w:ascii="Times New Roman" w:cs="Times New Roman" w:eastAsia="Times New Roman" w:hAnsi="Times New Roman"/>
          <w:sz w:val="18"/>
          <w:szCs w:val="18"/>
          <w:u w:val="single" w:color="auto"/>
          <w:color w:val="auto"/>
        </w:rPr>
        <w:t>RemainCo Services Manager</w:t>
      </w:r>
      <w:r>
        <w:rPr>
          <w:rFonts w:ascii="Times New Roman" w:cs="Times New Roman" w:eastAsia="Times New Roman" w:hAnsi="Times New Roman"/>
          <w:sz w:val="18"/>
          <w:szCs w:val="18"/>
          <w:color w:val="auto"/>
        </w:rPr>
        <w:t xml:space="preserve">”), who shall have authority to act on a Recipient’s behalf with respect to all matters relating to this Agreement. The RemainCo Services Manager shall work with the personnel of the RemainCo Entities to periodically address issues and matters raised by SpinCo relating to this Agreement. Notwithstanding the requirements of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all communications from SpinCo to any Recipient pursuant to this Agreement regarding routine matters involving the Services set forth in the Schedules shall be made through the RemainCo Services Manager, or such other individual as specified by the RemainCo Services Manager in writing and delivered to SpinCo by e-mail. RemainCo shall notify SpinCo in writing (email being sufficient) of the appointment of a different RemainCo Services Manager.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131" w:name="page132"/>
    <w:bookmarkEnd w:id="131"/>
    <w:p>
      <w:pPr>
        <w:jc w:val="both"/>
        <w:ind w:right="20" w:firstLine="987"/>
        <w:spacing w:after="0" w:line="254" w:lineRule="auto"/>
        <w:tabs>
          <w:tab w:leader="none" w:pos="1263"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SpinCo shall designate its initial services manager by written notice to RemainCo within five (5) Business Days after the Distribution Date (the “</w:t>
      </w:r>
      <w:r>
        <w:rPr>
          <w:rFonts w:ascii="Times New Roman" w:cs="Times New Roman" w:eastAsia="Times New Roman" w:hAnsi="Times New Roman"/>
          <w:sz w:val="18"/>
          <w:szCs w:val="18"/>
          <w:u w:val="single" w:color="auto"/>
          <w:color w:val="auto"/>
        </w:rPr>
        <w:t>SpinCo Services Manager</w:t>
      </w:r>
      <w:r>
        <w:rPr>
          <w:rFonts w:ascii="Times New Roman" w:cs="Times New Roman" w:eastAsia="Times New Roman" w:hAnsi="Times New Roman"/>
          <w:sz w:val="18"/>
          <w:szCs w:val="18"/>
          <w:color w:val="auto"/>
        </w:rPr>
        <w:t xml:space="preserve">”), who shall be directly responsible for coordinating and managing the delivery of the Services provided by SpinCo and have authority to act on SpinCo’s behalf with respect to all matters relating to this Agreement. The SpinCo Services Manager shall work with the personnel of the SpinCo Entities to periodically address issues and matters raised by RemainCo relating to this Agreement. Notwithstanding the requirements of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all communications from any Recipient to SpinCo pursuant to this Agreement regarding routine matters involving the Services set forth in the Schedules shall be made through the SpinCo Services Manager, or such other individual as specified by the SpinCo Services Manager in writing and delivered to RemainCo by e-mail. SpinCo shall notify RemainCo in writing (email being sufficient) of the appointment of a different SpinCo Services Manager.</w:t>
      </w:r>
    </w:p>
    <w:p>
      <w:pPr>
        <w:spacing w:after="0" w:line="188"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2.05. </w:t>
      </w:r>
      <w:r>
        <w:rPr>
          <w:rFonts w:ascii="Times New Roman" w:cs="Times New Roman" w:eastAsia="Times New Roman" w:hAnsi="Times New Roman"/>
          <w:sz w:val="18"/>
          <w:szCs w:val="18"/>
          <w:u w:val="single" w:color="auto"/>
          <w:color w:val="auto"/>
        </w:rPr>
        <w:t>Limitations on Provision of Services</w:t>
      </w:r>
      <w:r>
        <w:rPr>
          <w:rFonts w:ascii="Times New Roman" w:cs="Times New Roman" w:eastAsia="Times New Roman" w:hAnsi="Times New Roman"/>
          <w:sz w:val="18"/>
          <w:szCs w:val="18"/>
          <w:color w:val="auto"/>
        </w:rPr>
        <w:t>. Notwithstanding anything to the contrary set forth in this Agreement, (i) SpinCo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required to provide or cause to be provided any Service for use in or for any business other than the Royalty Business and (ii) RemainCo shall not be required to provide or cause to be provided any Service for use in or for any business other than the SpinCo Business.</w:t>
      </w:r>
    </w:p>
    <w:p>
      <w:pPr>
        <w:spacing w:after="0" w:line="171"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2.06. </w:t>
      </w:r>
      <w:r>
        <w:rPr>
          <w:rFonts w:ascii="Times New Roman" w:cs="Times New Roman" w:eastAsia="Times New Roman" w:hAnsi="Times New Roman"/>
          <w:sz w:val="18"/>
          <w:szCs w:val="18"/>
          <w:u w:val="single" w:color="auto"/>
          <w:color w:val="auto"/>
        </w:rPr>
        <w:t>Availability of SpinCo Personnel</w:t>
      </w:r>
      <w:r>
        <w:rPr>
          <w:rFonts w:ascii="Times New Roman" w:cs="Times New Roman" w:eastAsia="Times New Roman" w:hAnsi="Times New Roman"/>
          <w:sz w:val="18"/>
          <w:szCs w:val="18"/>
          <w:color w:val="auto"/>
        </w:rPr>
        <w:t>. In addition to, and without prejudice to, SpinCo’s obligation to provide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the Services to the RemainCo Entities as further described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for a period no longer than twelve (12) months after the Distribution Date (“</w:t>
      </w:r>
      <w:r>
        <w:rPr>
          <w:rFonts w:ascii="Times New Roman" w:cs="Times New Roman" w:eastAsia="Times New Roman" w:hAnsi="Times New Roman"/>
          <w:sz w:val="18"/>
          <w:szCs w:val="18"/>
          <w:u w:val="single" w:color="auto"/>
          <w:color w:val="auto"/>
        </w:rPr>
        <w:t>SpinCo Personnel Availability Period</w:t>
      </w:r>
      <w:r>
        <w:rPr>
          <w:rFonts w:ascii="Times New Roman" w:cs="Times New Roman" w:eastAsia="Times New Roman" w:hAnsi="Times New Roman"/>
          <w:sz w:val="18"/>
          <w:szCs w:val="18"/>
          <w:color w:val="auto"/>
        </w:rPr>
        <w:t xml:space="preserve">”), SpinCo shall make the SpinCo Group’s personnel reasonably available to support the transfer set forth in Section 2.2 of the Separation Agreement, and SpinCo (including by and through such personnel) shall answer questions (in a reasonably timely manner during the SpinCo Personnel Availability Period) from the RemainCo Entities and their Affiliates, including but not limited to, as may relate to the Transferred Know-How (as defined in the Separation Agreement) and the Services provided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set forth in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the foregoing shall not create any obligation on SpinCo Group or any of its Affiliates to retain or continue to employ any personnel. The SpinCo Group shall provide the RemainCo Entities and their Affiliates with the foregoing support for a Service Charge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SpinCo Services Manager shall appoint a single individual as its technology transfer lead who shall act as SpinCo’s lead for the timely and complete performance of all activities set forth in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Section 2.2 of the Separation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THIRD-PARTY CONSENTS AND LICENSES; INTELLECTUAL PROPERTY; LOCAL IMPLEMENTING AGREEMENTS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u w:val="single" w:color="auto"/>
          <w:color w:val="auto"/>
        </w:rPr>
        <w:t>Third-Party Consents and Licenses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987"/>
        <w:spacing w:after="0" w:line="266" w:lineRule="auto"/>
        <w:tabs>
          <w:tab w:leader="none" w:pos="125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any Software license or access to Software-based services that are provided under, or as part of, a Service, the relevant Recipient shall comply with the terms and conditions of the vendor/licensor applicable to such Software license or Software-based Service, provided that such terms and conditions shall have been made available to the relevant Recipient prior to the beginning of the Service Period for such Service.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32" w:name="page133"/>
    <w:bookmarkEnd w:id="132"/>
    <w:p>
      <w:pPr>
        <w:jc w:val="both"/>
        <w:ind w:firstLine="987"/>
        <w:spacing w:after="0" w:line="252" w:lineRule="auto"/>
        <w:tabs>
          <w:tab w:leader="none" w:pos="1283"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for those items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SpinCo shall use commercially reasonable efforts to obtain all third-party consents, licenses (or other appropriate rights), sublicenses and approvals necessary for a SpinCo Entity to provide, or a RemainCo Entity to receive, Services (including, by way of example, not by way of limitation, rights to use, duplicate and distribute third-party Software necessary for the receipt of the Services) (“</w:t>
      </w: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and any additional or incremental fees or other costs of obtaining or seeking to obtain such Required Consents (collectively, “</w:t>
      </w:r>
      <w:r>
        <w:rPr>
          <w:rFonts w:ascii="Times New Roman" w:cs="Times New Roman" w:eastAsia="Times New Roman" w:hAnsi="Times New Roman"/>
          <w:sz w:val="18"/>
          <w:szCs w:val="18"/>
          <w:u w:val="single" w:color="auto"/>
          <w:color w:val="auto"/>
        </w:rPr>
        <w:t>Consent Costs</w:t>
      </w:r>
      <w:r>
        <w:rPr>
          <w:rFonts w:ascii="Times New Roman" w:cs="Times New Roman" w:eastAsia="Times New Roman" w:hAnsi="Times New Roman"/>
          <w:sz w:val="18"/>
          <w:szCs w:val="18"/>
          <w:color w:val="auto"/>
        </w:rPr>
        <w:t xml:space="preserve">”) shall be: (i) to the extent such Consent Costs are reasonable and documented, reimbursed in full by RemainCo to SpinCo; and (ii) in all other cases, paid solely by SpinCo;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SpinCo shall not be required to commence or participate in any action, suit, arbitration or proceeding by or before any Governmental Authority or offer to grant any accommodation (financial or otherwise), other than ministerial acknowledgements, to any third-party to obtain any such Required Consent;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SpinCo shall not be required to seek broader rights or more favorable terms for RemainCo than those applicable to SpinCo or the RemainCo Entity, as the case may be, prior to the date hereof or as may be applicable to SpinCo from time to time hereafter. The Parties acknowledge and agree that there can be no assurance that SpinCo’s efforts shall be successful or that RemainCo shall be able to obtain such licenses or rights on acceptable terms or at all and, where SpinCo enjoys rights under any enterprise, site or similar license grant, the Parties acknowledge that such license may preclude partial transfers or assignments or operation of a service bureau on behalf of unaffiliated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Parties shall cooperate in good faith to find a reasonable alternative to such Services for which such Required Consent cannot be obtained, and SpinCo shall use good faith efforts to supplement, modify, substitute or otherwise alter the Services to provide such Services without such Required Consent in a manner that maintains, as much as possible, the full intended benefit of such Service to the RemainCo Entities and their Affiliates.</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987"/>
        <w:spacing w:after="0" w:line="261" w:lineRule="auto"/>
        <w:tabs>
          <w:tab w:leader="none" w:pos="1269"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between the Parties, subject to the terms of the Separation Agreement and this Agreement, any Intellectual Property owned or licensed by one Party or any of its Affiliates that is provided to the other Party or any of such other Party’s Affiliates or third-party providers or third-party vendors pursuant to this Agreement shall remain the property of the Party providing such Intellectual Property or Services, or the Affiliate of such Party that provides the same.</w:t>
      </w:r>
    </w:p>
    <w:p>
      <w:pPr>
        <w:spacing w:after="0" w:line="179" w:lineRule="exact"/>
        <w:rPr>
          <w:rFonts w:ascii="Times New Roman" w:cs="Times New Roman" w:eastAsia="Times New Roman" w:hAnsi="Times New Roman"/>
          <w:sz w:val="18"/>
          <w:szCs w:val="18"/>
          <w:b w:val="1"/>
          <w:bCs w:val="1"/>
          <w:color w:val="auto"/>
        </w:rPr>
      </w:pPr>
    </w:p>
    <w:p>
      <w:pPr>
        <w:jc w:val="both"/>
        <w:ind w:firstLine="987"/>
        <w:spacing w:after="0" w:line="254" w:lineRule="auto"/>
        <w:tabs>
          <w:tab w:leader="none" w:pos="1266"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the terms of the Separation Agreement and this Agreement, each Party, on behalf of itself and its Affiliates, hereby grants, and shall cause its permitted subcontractors to grant, to the other Party and its Affiliates, a limited, royalty-free, fully paid-up, worldwide, non-sublicensable (except to third-parties solely to the extent required for the receipt or provision, as the case may be, of any Service), non-exclusive, non-transferable license, solely for the duration of any applicable Service, to use the Intellectual Property owned by such Party or any of its Affiliates, solely to the extent necessary for, as the case may be, SpinCo to provide the Services and the relevant Recipient to receive and use the Services. Except as expressly identified in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nothing contained in this Agreement shall be deemed to grant either Party or its Affiliates, by implication, estoppel or otherwise, any license rights, ownership rights or other rights in any Intellectual Property owned by or licensed to the other Party (or any Affiliate or permitted subcontractor of the other Party).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33" w:name="page134"/>
    <w:bookmarkEnd w:id="133"/>
    <w:p>
      <w:pPr>
        <w:jc w:val="both"/>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Local Implementing Agreements</w:t>
      </w:r>
      <w:r>
        <w:rPr>
          <w:rFonts w:ascii="Times New Roman" w:cs="Times New Roman" w:eastAsia="Times New Roman" w:hAnsi="Times New Roman"/>
          <w:sz w:val="18"/>
          <w:szCs w:val="18"/>
          <w:color w:val="auto"/>
        </w:rPr>
        <w:t>. The Parties each recognize and agree that there may be a need to document the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hereunder in various jurisdictions outside of the United States from time to time. The Parties shall enter into, or cause their respective Affiliates to enter into, local implementing agreements (each a “</w:t>
      </w:r>
      <w:r>
        <w:rPr>
          <w:rFonts w:ascii="Times New Roman" w:cs="Times New Roman" w:eastAsia="Times New Roman" w:hAnsi="Times New Roman"/>
          <w:sz w:val="18"/>
          <w:szCs w:val="18"/>
          <w:u w:val="single" w:color="auto"/>
          <w:color w:val="auto"/>
        </w:rPr>
        <w:t>Local Implementing Agreement</w:t>
      </w:r>
      <w:r>
        <w:rPr>
          <w:rFonts w:ascii="Times New Roman" w:cs="Times New Roman" w:eastAsia="Times New Roman" w:hAnsi="Times New Roman"/>
          <w:sz w:val="18"/>
          <w:szCs w:val="18"/>
          <w:color w:val="auto"/>
        </w:rPr>
        <w:t>”) for Services in such jurisdictions, countries or geographical regions as a Party may reasonably request from time to time. Without limiting the generality of the foregoing, should there be any conflict between any term or condition of a Local Implementing Agreement and this Agreement, the terms and conditions of this Agreement shall prevail. The Parties agree to cooperate in implementing any such Local Implementing Agreement in a manner that does not subject SpinCo to income taxes in a jurisdiction other than those jurisdictions under the Laws of which such SpinCo is organized or is, before the implementation of such Local Implementing Agreement, a tax resident.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ACCESS</w:t>
      </w:r>
    </w:p>
    <w:p>
      <w:pPr>
        <w:spacing w:after="0" w:line="203"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As a condition to SpinCo’s obligations to provide the Services hereunder, the RemainCo Entities shall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on a timely basis to the SpinCo Entities all information and materials reasonably requested by any such Person to enable the SpinCo Entities to provide the Services.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COSTS AND DISBURSEMENTS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u w:val="single" w:color="auto"/>
          <w:color w:val="auto"/>
        </w:rPr>
        <w:t>Costs and Disbursements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987"/>
        <w:spacing w:after="0" w:line="252" w:lineRule="auto"/>
        <w:tabs>
          <w:tab w:leader="none" w:pos="1264"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in this Agreement or in the Schedules, RemainCo shall pay to SpinCo or its designee as specified in writing by the SpinCo Services Manager a monthly fee (and any additional premium as agreed to by and between the Parties) for the Services (or category of Services, as applicable) as provided for in the relevant Schedule or as calculated using the cost basis methodology provided for in the relevant Schedule, as applicable (each fee constituting a “</w:t>
      </w:r>
      <w:r>
        <w:rPr>
          <w:rFonts w:ascii="Times New Roman" w:cs="Times New Roman" w:eastAsia="Times New Roman" w:hAnsi="Times New Roman"/>
          <w:sz w:val="18"/>
          <w:szCs w:val="18"/>
          <w:u w:val="single" w:color="auto"/>
          <w:color w:val="auto"/>
        </w:rPr>
        <w:t>Service Charge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xml:space="preserve">”). For the avoidance of doubt, in addition to any such Service Charges, RemainCo shall also reimburse SpinCo for any out-of-pocket costs reasonably incurred and documented by SpinCo in the provision of such Services at cost. During the term of this Agreement, the amount of a Service Charge for any Services (or category of Services, as applicable) shall not increase except as a result of (i) an increase in the scope or volume of such Services being provided to RemainCo (as compared to the amount of the Services underlying the determination of a Service Charge) that is (and to the extent) requested in writing by RemainCo, (ii) an increase in the rates or charges imposed by SpinCo’s service providers or any other third-party provider that is providing goods or services used in providing the Services (as compared to the rates or charges underlying a Service Charge), (iii) subject to the limitations set forth in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an increase in the ordinary course of payroll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base salary or wage rate, annual target cash bonus opportunity) or employee benefits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insurance premiums, vendor costs) for any employees used, or number of employees or contractors used, by SpinCo in providing the Services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(iv) any increase in costs relating to any changes in the scope, quality, nature, duration or quantity of the Services provided or how the Services are provided that are (and to the extent) requested in writing by RemainCo relating to newly installed products or equipment or any upgrades to existing products or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134" w:name="page135"/>
    <w:bookmarkEnd w:id="134"/>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equipment or (v) an increase in costs resulting from a reasonable change in the pricing methodology for a particular Service, provided that SpinCo is implementing the same change with respect to all of its businesses or divisions that utilize the Service. Upon reasonable determination by SpinCo that a basis for the increase of a Service Charge set forth in the immediately preceding sentence exists, SpinCo shall notify RemainCo in writing of the basis for such increase and the amount of such increase (with supporting documentation, subject to any obligations of confidentiality to which SpinCo is subject, it being agreed that SpinCo will use commercially reasonable efforts to obtain any waivers or consents necessary to disclose such Confidential Information to RemainCo, as long as RemainCo agrees to keep such information confidential on customary terms), and the appropriate Schedule shall be amended to reflect such increased Service Charge and such increased Service Charge shall thereafter, from the beginning of the immediately following month, be deemed to be the Service Charge for the relevant Service hereunder. For the avoidance of doubt, increases in Service Charges may result from more than one of the causes set forth in clauses (i) through (v) of the second sentence of this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right="20" w:firstLine="987"/>
        <w:spacing w:after="0" w:line="253" w:lineRule="auto"/>
        <w:tabs>
          <w:tab w:leader="none" w:pos="1266"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During the term of this Agreement, the amount of a Service Charge for any Services (or category of Services, as applicable) shall be decreased to the extent that there is an evidenced decrease after the date hereof in the costs actually incurred by SpinCo in providing such Services as a result of (i) a decrease in the scope or volume of such Services being provided to the relevant Recipient (as compared to the amount of the Services underlying the determination of a Service Charge) that is (and to the extent) requested (in writing) by RemainCo, (ii) a decrease in the rates or charges imposed by SpinCo’s service provider or other third-party provider that is providing goods or services used by SpinCo in providing the Services (as compared to the rates or charges underlying a Service Charge), (iii) a decrease in the payroll or benefits for any Service Employee, (iv) any decrease in costs relating to any changes in the scope, quality, nature, duration or quantity of the Services provided or how the Services are provided that are (and to the extent) requested in writing by RemainCo (including relating to newly installed products or equipment or any upgrades to existing products or equipment), or (v) a decrease in costs resulting from a reasonable change in the pricing methodology for a particular Service, provided that SpinCo is implementing the same change with respect to all of its businesses or divisions that utilize the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SpinCo shall reasonably notify RemainCo of any decrease in the amount of any Service Charge as set forth in the foregoing clauses (i) through (v), and the appropriate Schedule shall be amended to reflect such decreased Service Charge and such decreased Service Charge shall thereafter, from the beginning of the immediately following month, be deemed to be the Service Charge for the relevant Service hereunder.</w:t>
      </w:r>
    </w:p>
    <w:p>
      <w:pPr>
        <w:spacing w:after="0" w:line="187" w:lineRule="exact"/>
        <w:rPr>
          <w:rFonts w:ascii="Times New Roman" w:cs="Times New Roman" w:eastAsia="Times New Roman" w:hAnsi="Times New Roman"/>
          <w:sz w:val="18"/>
          <w:szCs w:val="18"/>
          <w:b w:val="1"/>
          <w:bCs w:val="1"/>
          <w:color w:val="auto"/>
        </w:rPr>
      </w:pPr>
    </w:p>
    <w:p>
      <w:pPr>
        <w:jc w:val="both"/>
        <w:ind w:firstLine="987"/>
        <w:spacing w:after="0" w:line="254" w:lineRule="auto"/>
        <w:tabs>
          <w:tab w:leader="none" w:pos="1241"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RemainCo, at its sole cost and expense, shall have the right, by reasonable prior notice given to SpinCo, to retain an independent third party to audit SpinCo’s and its Affiliates’ books and records to confirm the Service Charges levied by SpinCo for the Services or any other amount paid or payable by RemainCo to SpinCo hereunder (i) once within the first three (3) months of the term of the Agreement, and (ii) following such audit, no more often than once every six (6) months thereafter for the duration of the term of the Agreement. Upon written request by RemainCo, SpinCo shall, or shall cause its Affiliates to, within a reasonable period of time, provide, at the sole cost and expense of RemainCo, all assistance, records and access reasonably requested by RemainCo in responding to such audit, solely to the extent it relates to Service Charges for the Services provided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notwithstanding the foregoing, SpinCo shall not be required to provide RemainCo and its representatives such access to the extent it, in the SpinCo’s reasonable discretion, would reasonably be expected to waive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35" w:name="page136"/>
    <w:bookmarkEnd w:id="135"/>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privileges (including attorney client privilege), breach contractual confidentiality obligations or violate any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SpinCo shall use its commercially reasonable efforts to provide such access in a manner that would not waive such privilege, breach such obligations or violate such Law, or would otherwise permit such access in a manner that would remove such objection, and (b) such access, inquiry or request shall not unreasonably interfere with the business or operations of SpinCo.</w:t>
      </w:r>
    </w:p>
    <w:p>
      <w:pPr>
        <w:spacing w:after="0" w:line="176"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5.02. </w:t>
      </w:r>
      <w:r>
        <w:rPr>
          <w:rFonts w:ascii="Times New Roman" w:cs="Times New Roman" w:eastAsia="Times New Roman" w:hAnsi="Times New Roman"/>
          <w:sz w:val="18"/>
          <w:szCs w:val="18"/>
          <w:u w:val="single" w:color="auto"/>
          <w:color w:val="auto"/>
        </w:rPr>
        <w:t>No Right to Set-Off</w:t>
      </w:r>
      <w:r>
        <w:rPr>
          <w:rFonts w:ascii="Times New Roman" w:cs="Times New Roman" w:eastAsia="Times New Roman" w:hAnsi="Times New Roman"/>
          <w:sz w:val="18"/>
          <w:szCs w:val="18"/>
          <w:color w:val="auto"/>
        </w:rPr>
        <w:t>. RemainCo shall pay the full amount of Service Charges, Termination Charges (to the extent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not set off, counterclaim or otherwise withhold any amount owed (or to become due and owing) to SpinCo under this Agreement on account of any obligation owed (or to become due and owing) by SpinCo or any of its Affiliates to RemainCo or any of its Affiliates that has not been finally adjudicated, settled or otherwise agreed upon by the Parties in writing.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5.03.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987"/>
        <w:spacing w:after="0" w:line="258" w:lineRule="auto"/>
        <w:tabs>
          <w:tab w:leader="none" w:pos="1246"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Services Taxes</w:t>
      </w:r>
      <w:r>
        <w:rPr>
          <w:rFonts w:ascii="Times New Roman" w:cs="Times New Roman" w:eastAsia="Times New Roman" w:hAnsi="Times New Roman"/>
          <w:sz w:val="18"/>
          <w:szCs w:val="18"/>
          <w:color w:val="auto"/>
        </w:rPr>
        <w:t>. RemainCo shall bear any and all sales, use, excise, value added, indirect, goods and services and other similar Taxes (and any related interest and penalties) imposed on, or payable with respect to, any Service Charges payable by RemainCo pursuant to this Agreement (such Taxes, the “</w:t>
      </w:r>
      <w:r>
        <w:rPr>
          <w:rFonts w:ascii="Times New Roman" w:cs="Times New Roman" w:eastAsia="Times New Roman" w:hAnsi="Times New Roman"/>
          <w:sz w:val="18"/>
          <w:szCs w:val="18"/>
          <w:u w:val="single" w:color="auto"/>
          <w:color w:val="auto"/>
        </w:rPr>
        <w:t>Service Taxes</w:t>
      </w:r>
      <w:r>
        <w:rPr>
          <w:rFonts w:ascii="Times New Roman" w:cs="Times New Roman" w:eastAsia="Times New Roman" w:hAnsi="Times New Roman"/>
          <w:sz w:val="18"/>
          <w:szCs w:val="18"/>
          <w:color w:val="auto"/>
        </w:rPr>
        <w:t xml:space="preserve">”). For the avoidance of doubt, this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 xml:space="preserve"> shall not apply to, and RemainCo and SpinCo each shall pay and be responsible for, all Taxes based on their respective income, profits or assets, employment Taxes and all other Taxes not described in the previous sentence that are imposed on each of them or their respective Affiliates.</w:t>
      </w:r>
    </w:p>
    <w:p>
      <w:pPr>
        <w:spacing w:after="0" w:line="183" w:lineRule="exact"/>
        <w:rPr>
          <w:rFonts w:ascii="Times New Roman" w:cs="Times New Roman" w:eastAsia="Times New Roman" w:hAnsi="Times New Roman"/>
          <w:sz w:val="18"/>
          <w:szCs w:val="18"/>
          <w:b w:val="1"/>
          <w:bCs w:val="1"/>
          <w:color w:val="auto"/>
        </w:rPr>
      </w:pPr>
    </w:p>
    <w:p>
      <w:pPr>
        <w:jc w:val="both"/>
        <w:ind w:firstLine="987"/>
        <w:spacing w:after="0" w:line="261" w:lineRule="auto"/>
        <w:tabs>
          <w:tab w:leader="none" w:pos="127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Withholding Tax or Other Similar Taxes</w:t>
      </w:r>
      <w:r>
        <w:rPr>
          <w:rFonts w:ascii="Times New Roman" w:cs="Times New Roman" w:eastAsia="Times New Roman" w:hAnsi="Times New Roman"/>
          <w:sz w:val="18"/>
          <w:szCs w:val="18"/>
          <w:color w:val="auto"/>
        </w:rPr>
        <w:t>. RemainCo (and its applicable Affiliates) shall have the right to withhold or deduct Taxes from any payments made under this Agreement as required by applicable Law. To the extent such amounts are so deducted or withheld and remitted to the appropriate Governmental Authority (including any Taxing Authority) on a timely basis in accordance with applicable Law, such amounts will be treated for all purposes under this Agreement as having been paid to the Party to whom such amounts would otherwise have been paid.</w:t>
      </w:r>
    </w:p>
    <w:p>
      <w:pPr>
        <w:spacing w:after="0" w:line="179" w:lineRule="exact"/>
        <w:rPr>
          <w:rFonts w:ascii="Times New Roman" w:cs="Times New Roman" w:eastAsia="Times New Roman" w:hAnsi="Times New Roman"/>
          <w:sz w:val="18"/>
          <w:szCs w:val="18"/>
          <w:b w:val="1"/>
          <w:bCs w:val="1"/>
          <w:color w:val="auto"/>
        </w:rPr>
      </w:pPr>
    </w:p>
    <w:p>
      <w:pPr>
        <w:jc w:val="both"/>
        <w:ind w:right="20" w:firstLine="987"/>
        <w:spacing w:after="0" w:line="261" w:lineRule="auto"/>
        <w:tabs>
          <w:tab w:leader="none" w:pos="1249"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Minimization and Recovery of Taxes</w:t>
      </w:r>
      <w:r>
        <w:rPr>
          <w:rFonts w:ascii="Times New Roman" w:cs="Times New Roman" w:eastAsia="Times New Roman" w:hAnsi="Times New Roman"/>
          <w:sz w:val="18"/>
          <w:szCs w:val="18"/>
          <w:color w:val="auto"/>
        </w:rPr>
        <w:t xml:space="preserve">. The Parties shall use commercially reasonable efforts to (i) minimize the amount of Service Taxes or amounts required to be withheld or deducted under applicable Law by RemainCo under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and (ii) claim any available refunds or credits of (A) Service Taxes or (B) amounts withheld under applicable Law by RemainCo. SpinCo shall promptly pay (or cause to be paid) to RemainCo any such amounts recovered by SpinCo or its Affiliates pursuant to and described in clause (ii)(A) of the previous sentence.</w:t>
      </w:r>
    </w:p>
    <w:p>
      <w:pPr>
        <w:spacing w:after="0" w:line="179" w:lineRule="exact"/>
        <w:rPr>
          <w:rFonts w:ascii="Times New Roman" w:cs="Times New Roman" w:eastAsia="Times New Roman" w:hAnsi="Times New Roman"/>
          <w:sz w:val="18"/>
          <w:szCs w:val="18"/>
          <w:b w:val="1"/>
          <w:bCs w:val="1"/>
          <w:color w:val="auto"/>
        </w:rPr>
      </w:pPr>
    </w:p>
    <w:p>
      <w:pPr>
        <w:jc w:val="both"/>
        <w:ind w:right="20" w:firstLine="987"/>
        <w:spacing w:after="0" w:line="256" w:lineRule="auto"/>
        <w:tabs>
          <w:tab w:leader="none" w:pos="127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RemainCo and SpinCo shall use commercially reasonable efforts to cooperate to minimize the imposition of, and the amount of, any taxes described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(including through the provision of any relevant forms or other documents). SpinCo shall keep RemainCo reasonably informed with respect to (i) the reporting of Services Taxes, (ii) any audit relating to Services Taxes, or (iii) any assessment, refund, claim or legal proceeding relating to Services Taxes, including, in each instance, providing RemainCo with such information and documentation as is reasonably necessary. Without limiting the generality of the foregoing, upon entering into this Agreement, and at any time thereafter that RemainCo reasonably requests, SpinCo shall provide RemainCo an IRS Form W-9 or applicable IRS Form W-8, as applicable,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36" w:name="page137"/>
    <w:bookmarkEnd w:id="136"/>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similar form reasonably requested by RemainCo under any applicable Law, in order to avail themselves of any exemptions from and to minimize any applicable withholding taxes on any amounts otherwise payable pursuant to this Agreement.</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Section 5.04. </w:t>
      </w:r>
      <w:r>
        <w:rPr>
          <w:rFonts w:ascii="Times New Roman" w:cs="Times New Roman" w:eastAsia="Times New Roman" w:hAnsi="Times New Roman"/>
          <w:sz w:val="18"/>
          <w:szCs w:val="18"/>
          <w:u w:val="single" w:color="auto"/>
          <w:color w:val="auto"/>
        </w:rPr>
        <w:t>Service Employees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20" w:firstLine="987"/>
        <w:spacing w:after="0" w:line="258" w:lineRule="auto"/>
        <w:tabs>
          <w:tab w:leader="none" w:pos="1258"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SpinCo shall continuously employ each of the Service Employees, with the same title and job duties as were in effect for such Service Employee on the day immediately preceding the Closing Date, from the Closing Date through the end of the applicable Service Period (or if earlier, the effective date of such Service Employee’s voluntary resignation of employment). Except as provided in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SpinCo shall maintain for each Service Employee the same base salary (or wage rate, as applicable), annual target cash bonus opportunity and employee benefits that were in effect for such Service Employee on the day immediately preceding the Closing Date.</w:t>
      </w:r>
    </w:p>
    <w:p>
      <w:pPr>
        <w:spacing w:after="0" w:line="183" w:lineRule="exact"/>
        <w:rPr>
          <w:rFonts w:ascii="Times New Roman" w:cs="Times New Roman" w:eastAsia="Times New Roman" w:hAnsi="Times New Roman"/>
          <w:sz w:val="18"/>
          <w:szCs w:val="18"/>
          <w:b w:val="1"/>
          <w:bCs w:val="1"/>
          <w:color w:val="auto"/>
        </w:rPr>
      </w:pPr>
    </w:p>
    <w:p>
      <w:pPr>
        <w:jc w:val="both"/>
        <w:ind w:left="4" w:firstLine="987"/>
        <w:spacing w:after="0" w:line="253" w:lineRule="auto"/>
        <w:tabs>
          <w:tab w:leader="none" w:pos="1269"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herein, SpinCo shall not, without Cause or RemainCo’s prior written consent, terminate the employment of any Service Employee prior to the end of the applicable Service Period. SpinCo shall notify RemainCo in writing promptly, and in no event more than five (5) Business Days, after a Service Employee gives notice of resignation, and shall, if reasonably practicable, notify RemainCo in writing five (5) Business Days prior to termination of a Service Employee by SpinCo for Cause. Upon RemainCo’s written request that a Service Employee be removed from service, SpinCo shall, within one (1) Business Day, cause such Service Employee to cease providing any Services to RemainCo and, (i) as of the date thereof (the “</w:t>
      </w:r>
      <w:r>
        <w:rPr>
          <w:rFonts w:ascii="Times New Roman" w:cs="Times New Roman" w:eastAsia="Times New Roman" w:hAnsi="Times New Roman"/>
          <w:sz w:val="18"/>
          <w:szCs w:val="18"/>
          <w:u w:val="single" w:color="auto"/>
          <w:color w:val="auto"/>
        </w:rPr>
        <w:t>Service Employee End Date</w:t>
      </w:r>
      <w:r>
        <w:rPr>
          <w:rFonts w:ascii="Times New Roman" w:cs="Times New Roman" w:eastAsia="Times New Roman" w:hAnsi="Times New Roman"/>
          <w:sz w:val="18"/>
          <w:szCs w:val="18"/>
          <w:color w:val="auto"/>
        </w:rPr>
        <w:t>”), such Service Employee shall cease to be a Service Employee and</w:t>
      </w:r>
    </w:p>
    <w:p>
      <w:pPr>
        <w:spacing w:after="0" w:line="5" w:lineRule="exact"/>
        <w:rPr>
          <w:rFonts w:ascii="Times New Roman" w:cs="Times New Roman" w:eastAsia="Times New Roman" w:hAnsi="Times New Roman"/>
          <w:sz w:val="18"/>
          <w:szCs w:val="18"/>
          <w:b w:val="1"/>
          <w:bCs w:val="1"/>
          <w:color w:val="auto"/>
        </w:rPr>
      </w:pPr>
    </w:p>
    <w:p>
      <w:pPr>
        <w:ind w:left="4" w:right="20" w:hanging="4"/>
        <w:spacing w:after="0" w:line="260" w:lineRule="auto"/>
        <w:tabs>
          <w:tab w:leader="none" w:pos="27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be solely responsible for all compensation, benefits or other costs associated with such Service Employee that accrue or arise after the Service Employee End Date.</w:t>
      </w:r>
    </w:p>
    <w:p>
      <w:pPr>
        <w:spacing w:after="0" w:line="181"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72" w:val="left"/>
        </w:tabs>
        <w:numPr>
          <w:ilvl w:val="1"/>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SpinCo shall not, without RemainCo’s prior written consent, make any change to the compensation, benefits or other terms and conditions of employment of any of the Service Employees prior to the end of the applicable Service Period, other than with respect to broad-based changes in employee benefits that are implemented by SpinCo in the ordinary course for its employees, generally.</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STANDARD FOR SERVICE</w:t>
      </w:r>
    </w:p>
    <w:p>
      <w:pPr>
        <w:spacing w:after="0" w:line="203" w:lineRule="exact"/>
        <w:rPr>
          <w:sz w:val="20"/>
          <w:szCs w:val="20"/>
          <w:color w:val="auto"/>
        </w:rPr>
      </w:pPr>
    </w:p>
    <w:p>
      <w:pPr>
        <w:jc w:val="both"/>
        <w:ind w:left="4"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u w:val="single" w:color="auto"/>
          <w:color w:val="auto"/>
        </w:rPr>
        <w:t>Standard for Service</w:t>
      </w:r>
      <w:r>
        <w:rPr>
          <w:rFonts w:ascii="Times New Roman" w:cs="Times New Roman" w:eastAsia="Times New Roman" w:hAnsi="Times New Roman"/>
          <w:sz w:val="18"/>
          <w:szCs w:val="18"/>
          <w:color w:val="auto"/>
        </w:rPr>
        <w:t>. Except as otherwise provided in this Agreement or the Schedules, SpinCo agrees to provide,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be provided, the Services such that the nature, quality, standard of care and the service levels at which such Services are performed are, in all material respects, no less than the nature, quality, standard of care and service levels at which substantially the same services were performed by or on behalf of the SpinCo Assets (including personnel) as of twelve (12) months prior to the Distribution Date (or, if not so previously provided, then substantially the same nature, quality, standard of care and service levels as those applicable to similar services performed by or on behalf of the SpinCo Assets (including personnel) as of twelve (12) months prior to the Distribution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Agreement shall require any SpinCo Entity to favor any RemainCo Entity’s operation of its business over any SpinCo Entity’s own business operation. Without limiting its obligations pursuant 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SpinCo will not be obligated under this Agreement to (x) hire additional employees or, with the exception of the Service Employees, retain specific</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employees or (y) purchase, lease, or license any additional Software, or additional equipment or other assets.</w:t>
      </w:r>
    </w:p>
    <w:p>
      <w:pPr>
        <w:spacing w:after="0" w:line="221" w:lineRule="exact"/>
        <w:rPr>
          <w:sz w:val="20"/>
          <w:szCs w:val="20"/>
          <w:color w:val="auto"/>
        </w:rPr>
      </w:pPr>
    </w:p>
    <w:p>
      <w:pPr>
        <w:jc w:val="both"/>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6.02.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Subject to compliance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in the event any Required Consent is required for SpinCo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designees to provide any Services and such Required Consent is not obtained, the Parties shall cooperate in good faith to identify a commercially reasonable alternative to such Services, and SpinCo shall use good faith efforts to supplement, modify, substitute or otherwise alter the Services to provide such Services without such Required Consent. If the Parties are unable to identify such an alternative, SpinCo and its Affiliates shall not be obligated to provide any such Services or to obtain replacement services therefor. SpinCo shall not be obligated to provide any Services which, if provided, would violate any third-party Contract.</w:t>
      </w:r>
    </w:p>
    <w:p>
      <w:pPr>
        <w:spacing w:after="0" w:line="182" w:lineRule="exact"/>
        <w:rPr>
          <w:sz w:val="20"/>
          <w:szCs w:val="20"/>
          <w:color w:val="auto"/>
        </w:rPr>
      </w:pPr>
    </w:p>
    <w:p>
      <w:pPr>
        <w:jc w:val="both"/>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6.03. </w:t>
      </w:r>
      <w:r>
        <w:rPr>
          <w:rFonts w:ascii="Times New Roman" w:cs="Times New Roman" w:eastAsia="Times New Roman" w:hAnsi="Times New Roman"/>
          <w:sz w:val="18"/>
          <w:szCs w:val="18"/>
          <w:u w:val="single" w:color="auto"/>
          <w:color w:val="auto"/>
        </w:rPr>
        <w:t>Maintenance</w:t>
      </w:r>
      <w:r>
        <w:rPr>
          <w:rFonts w:ascii="Times New Roman" w:cs="Times New Roman" w:eastAsia="Times New Roman" w:hAnsi="Times New Roman"/>
          <w:sz w:val="18"/>
          <w:szCs w:val="18"/>
          <w:color w:val="auto"/>
        </w:rPr>
        <w:t>. In the event that SpinCo’s facilities are temporarily shut down for reasons outside of SpinCo’s control,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Services dependent on the operation of such facilities or systems, SpinCo shall be relieved of its obligations hereunder to provide such Services during the period that such facilities or systems are so shut down in compliance with this Agreement, but shall use commercially reasonable efforts to minimize any period of shutdown. RemainCo shall be relieved of its obligation hereunder to pay Service Charges for any Services that cannot be provided by SpinCo for the duration of such shutdown.</w:t>
      </w:r>
    </w:p>
    <w:p>
      <w:pPr>
        <w:spacing w:after="0" w:line="179" w:lineRule="exact"/>
        <w:rPr>
          <w:sz w:val="20"/>
          <w:szCs w:val="20"/>
          <w:color w:val="auto"/>
        </w:rPr>
      </w:pPr>
    </w:p>
    <w:p>
      <w:pPr>
        <w:jc w:val="both"/>
        <w:ind w:right="2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6.04. </w:t>
      </w:r>
      <w:r>
        <w:rPr>
          <w:rFonts w:ascii="Times New Roman" w:cs="Times New Roman" w:eastAsia="Times New Roman" w:hAnsi="Times New Roman"/>
          <w:sz w:val="18"/>
          <w:szCs w:val="18"/>
          <w:u w:val="single" w:color="auto"/>
          <w:color w:val="auto"/>
        </w:rPr>
        <w:t>Modifications</w:t>
      </w:r>
      <w:r>
        <w:rPr>
          <w:rFonts w:ascii="Times New Roman" w:cs="Times New Roman" w:eastAsia="Times New Roman" w:hAnsi="Times New Roman"/>
          <w:sz w:val="18"/>
          <w:szCs w:val="18"/>
          <w:color w:val="auto"/>
        </w:rPr>
        <w:t>. SpinCo may modify a Service (including, with respect to the cost (determined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scope, timing and quality of such Service) (a) to the extent the same modification is made with respect to the entirety of SpinCo’s provision of such Service to any of its Affiliates and any other Person to whom SpinCo provides such Service; or (b) if provision of such Service is prohibited or restricted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such event, SpinCo shall use commercially reasonable efforts to limit the disruption to the business or operations of the relevant Recipient caused by such modification. SpinCo’s responsibilities set forth herein shall be amended as reasonably necessary to conform to any such modifications made pursuant to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each Recipient shall use commercially reasonable efforts to comply with any such amendments. Subject to the terms in this Agreement, in providing its Services hereunder, SpinCo may use any information systems, hardware, Software, processes and procedures it deems necessary or desirable in its reasonable discretion, subject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6.05. </w:t>
      </w:r>
      <w:r>
        <w:rPr>
          <w:rFonts w:ascii="Times New Roman" w:cs="Times New Roman" w:eastAsia="Times New Roman" w:hAnsi="Times New Roman"/>
          <w:sz w:val="18"/>
          <w:szCs w:val="18"/>
          <w:u w:val="single" w:color="auto"/>
          <w:color w:val="auto"/>
        </w:rPr>
        <w:t>Disclaimer of Warranties</w:t>
      </w:r>
      <w:r>
        <w:rPr>
          <w:rFonts w:ascii="Times New Roman" w:cs="Times New Roman" w:eastAsia="Times New Roman" w:hAnsi="Times New Roman"/>
          <w:sz w:val="18"/>
          <w:szCs w:val="18"/>
          <w:color w:val="auto"/>
        </w:rPr>
        <w:t>. Except as expressly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subject to the limitations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acknowledge and agree that the Services are provided on an as-is, where-is basis, that each Recipient assumes all risks and liability arising from or relating to its use of and reliance upon the Services and SpinCo makes no representation or warranty with respect thereto. EXCEPT AS EXPRESSLY SET FORTH HEREIN, SPINCO HEREBY EXPRESSLY DISCLAIMS ALL REPRESENTATIONS AND WARRANTIES REGARDING THE SERVICES, WHETHER EXPRESS OR IMPLIED, INCLUDING ANY REPRESENTATION OR WARRANTY IN REGARD TO QUALITY, PERFORMANCE, COMMERCIAL UTILITY, MERCHANTABILITY, FITNESS OF THE SERVICES FOR A PARTICULAR PURPOSE OR USE, TITLE, NON-INFRINGEMENT, ACCURACY, AVAILABILITY, TIMELINESS, COMPLETENESS, THE RESULTS TO BE OBTAINED FROM SUCH SERVICES OR ARISING FROM COURSE OF PERFORMANCE, DEALING, USAGE OR TRADE, AND EACH RECIPIENT, ON ITS BEHALF AND 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38" w:name="page139"/>
    <w:bookmarkEnd w:id="13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BEHALF OF ALL OF ITS AFFILIATES, HEREBY ACKNOWLEDGES SUCH DISCLAIMER AND RECIPIENT SPECIFICALLY DISCLAIMS THAT IT IS RELYING UPON OR HAS RELIED UPON ANY SUCH REPRESENTATION OR WARRANTY.</w:t>
      </w:r>
    </w:p>
    <w:p>
      <w:pPr>
        <w:spacing w:after="0" w:line="158"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6.06. </w:t>
      </w:r>
      <w:r>
        <w:rPr>
          <w:rFonts w:ascii="Times New Roman" w:cs="Times New Roman" w:eastAsia="Times New Roman" w:hAnsi="Times New Roman"/>
          <w:sz w:val="18"/>
          <w:szCs w:val="18"/>
          <w:u w:val="single" w:color="auto"/>
          <w:color w:val="auto"/>
        </w:rPr>
        <w:t>Compliance with Laws and Regulations</w:t>
      </w:r>
      <w:r>
        <w:rPr>
          <w:rFonts w:ascii="Times New Roman" w:cs="Times New Roman" w:eastAsia="Times New Roman" w:hAnsi="Times New Roman"/>
          <w:sz w:val="18"/>
          <w:szCs w:val="18"/>
          <w:color w:val="auto"/>
        </w:rPr>
        <w:t>. Each Party shall be responsible for its and its Affiliates’ own compliance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Laws applicable to its and their performance under this Agreement. No Party or its Affiliates shall take any action in violation of any such applicable Law that would reasonably be likely to result in liability being imposed on the other Party or its Affiliates, as the case may be. SpinCo shall not be obligated to provide any Service which, if provided, would violate any applicable Law.</w:t>
      </w:r>
    </w:p>
    <w:p>
      <w:pPr>
        <w:spacing w:after="0" w:line="176" w:lineRule="exact"/>
        <w:rPr>
          <w:sz w:val="20"/>
          <w:szCs w:val="20"/>
          <w:color w:val="auto"/>
        </w:rPr>
      </w:pPr>
    </w:p>
    <w:p>
      <w:pPr>
        <w:jc w:val="both"/>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6.07. </w:t>
      </w:r>
      <w:r>
        <w:rPr>
          <w:rFonts w:ascii="Times New Roman" w:cs="Times New Roman" w:eastAsia="Times New Roman" w:hAnsi="Times New Roman"/>
          <w:sz w:val="18"/>
          <w:szCs w:val="18"/>
          <w:u w:val="single" w:color="auto"/>
          <w:color w:val="auto"/>
        </w:rPr>
        <w:t>No Professional Services</w:t>
      </w:r>
      <w:r>
        <w:rPr>
          <w:rFonts w:ascii="Times New Roman" w:cs="Times New Roman" w:eastAsia="Times New Roman" w:hAnsi="Times New Roman"/>
          <w:sz w:val="18"/>
          <w:szCs w:val="18"/>
          <w:color w:val="auto"/>
        </w:rPr>
        <w:t>. Notwithstanding anything to the contrary contained in this Agreement or in any Schedule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neither SpinCo nor any of its Affiliates, nor any of its or their respective Representatives, shall be obligated to provide, or shall be deemed to be providing, any legal, compliance, or IT consulting services to RemainCo or any of its Affiliates, or any of their respective Representatives, pursuant to this Agreement or any Schedule hereto, whether as part of or in connection with the Services provided hereunder or otherwise, except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6.08. </w:t>
      </w:r>
      <w:r>
        <w:rPr>
          <w:rFonts w:ascii="Times New Roman" w:cs="Times New Roman" w:eastAsia="Times New Roman" w:hAnsi="Times New Roman"/>
          <w:sz w:val="18"/>
          <w:szCs w:val="18"/>
          <w:u w:val="single" w:color="auto"/>
          <w:color w:val="auto"/>
        </w:rPr>
        <w:t>No Reporting Obligations</w:t>
      </w:r>
      <w:r>
        <w:rPr>
          <w:rFonts w:ascii="Times New Roman" w:cs="Times New Roman" w:eastAsia="Times New Roman" w:hAnsi="Times New Roman"/>
          <w:sz w:val="18"/>
          <w:szCs w:val="18"/>
          <w:color w:val="auto"/>
        </w:rPr>
        <w:t>. Notwithstanding anything to the contrary contained in this Agreement or in any Schedule,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required by applicable Law or to the extent it is expressly stated in a Schedule that a filing obligation exists, neither SpinCo nor any of its Affiliates, nor any of its or their respective Representatives, shall be obligated, pursuant to this Agreement or any Schedule, as part of or in connection with the Services provided hereunder, as a result of storing or maintaining any data referred to herein or in any Schedule hereto, or otherwise, to prepare or deliver any notification or report to any Governmental Authority (including any Taxing Authority) or other Person on behalf of RemainCo or any of its Affiliates, or any of its or their respective Representatives.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DISPUTE RESOLUTION</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7.01.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3" w:lineRule="auto"/>
        <w:tabs>
          <w:tab w:leader="none" w:pos="1254"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any dispute, controversy, claim or action arising out of or relating to the transactions contemplated by this Agreement, or the validity, interpretation, breach or termination of any provision of this Agreement, or calculation or allocation of the costs of any Service, including indemnification claims and claims seeking redress or asserting rights under any Law, whether in contract, tort, common law, statutory law, equity or otherwise, including any question regarding the negotiation, execution or performance of this Agreement (each, a “</w:t>
      </w:r>
      <w:r>
        <w:rPr>
          <w:rFonts w:ascii="Times New Roman" w:cs="Times New Roman" w:eastAsia="Times New Roman" w:hAnsi="Times New Roman"/>
          <w:sz w:val="18"/>
          <w:szCs w:val="18"/>
          <w:u w:val="single" w:color="auto"/>
          <w:color w:val="auto"/>
        </w:rPr>
        <w:t>TSA Dispute</w:t>
      </w:r>
      <w:r>
        <w:rPr>
          <w:rFonts w:ascii="Times New Roman" w:cs="Times New Roman" w:eastAsia="Times New Roman" w:hAnsi="Times New Roman"/>
          <w:sz w:val="18"/>
          <w:szCs w:val="18"/>
          <w:color w:val="auto"/>
        </w:rPr>
        <w:t>”), RemainCo and SpinCo agree that the RemainCo Services Manager and the SpinCo Services Manager (or such other people as RemainCo and SpinCo may designate) shall negotiate in good faith in an attempt to resolve such TSA Dispute promptly and amicably. If such TSA Dispute has not been resolved to the mutual satisfaction of RemainCo and SpinCo within thirty (30) days after the initial notice of the TSA Dispute (or such longer period as the Parties may agree in writing), then, the General Counsel of SpinCo or his or her designee, on behalf of SpinCo, and an authorized representative of RemainCo shall negotiate in good faith in an attempt to resolve such TSA Dispute amicably for an additional twenty (20) days (or such longer period as the Parties may agree in writing). If, at the end of such time, such Persons are unable to resolve such TSA</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39" w:name="page140"/>
    <w:bookmarkEnd w:id="139"/>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Dispute amicably, then such TSA Dispute shall be resolved in accordance with the dispute resolution process set forth in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of the Separation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dispute resolution process shall not modify or add to the remedies available to the Parties under this Agreement.</w:t>
      </w:r>
    </w:p>
    <w:p>
      <w:pPr>
        <w:spacing w:after="0" w:line="162" w:lineRule="exact"/>
        <w:rPr>
          <w:sz w:val="20"/>
          <w:szCs w:val="20"/>
          <w:color w:val="auto"/>
        </w:rPr>
      </w:pPr>
    </w:p>
    <w:p>
      <w:pPr>
        <w:jc w:val="both"/>
        <w:ind w:firstLine="987"/>
        <w:spacing w:after="0" w:line="255" w:lineRule="auto"/>
        <w:tabs>
          <w:tab w:leader="none" w:pos="12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any TSA Dispute regarding the amount of a Service Charge or Termination Charge, if after such TSA Dispute is finally adjudicated pursuant to the dispute resolution or judicial process set forth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it is determined that the Service Charge or Termination Charge that SpinCo has invoiced RemainCo, and that RemainCo has paid to SpinCo, is greater or less than the amount that the applicable charge should have been, then (i) if it is determined that RemainCo has overpaid the Service Charge or Termination Charge, SpinCo shall, within five (5) Business Days after such determination, reimburse RemainCo an amount of cash equal to such overpayment and (ii) if it is determined that RemainCo has underpaid the Service Charge or Termination Charge, RemainCo shall within five (5) Business Days after such determination reimburse SpinCo an amount of cash equal to such underpayment.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LIMITED LIABILITY AND INDEMNIFICATION</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8.01.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54" w:lineRule="auto"/>
        <w:tabs>
          <w:tab w:leader="none" w:pos="1295"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 contained in this Agreement, SpinCo, its Affiliates or Representatives (each, a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shall not be liable under this Agreement for any consequential, special, incidental, indirect or punitive damages, any amount calculated based upon any multiple of earnings, book value or cash flow, or diminution in value, lost profits or similar items (including loss of revenue, business interruption, income or profits, diminution of value or loss of business reputation or opportunity or loss of customers, goodwill or use) regardless of whether such items are based in contract, breach of warranty, tort or negligence or any other theory, and regardless of whether SpinCo or any of its Affiliates has been advised of, knew or should have known of, anticipated or foreseen the possibility of such damages. The Parties acknowledge that the Services to be provided hereunder are subject to, and that the remedies under this Agreement are limited by, the applicable provisions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including the limitations on representations and warranties with respect to the Services.</w:t>
      </w:r>
    </w:p>
    <w:p>
      <w:pPr>
        <w:spacing w:after="0" w:line="191" w:lineRule="exact"/>
        <w:rPr>
          <w:rFonts w:ascii="Times New Roman" w:cs="Times New Roman" w:eastAsia="Times New Roman" w:hAnsi="Times New Roman"/>
          <w:sz w:val="18"/>
          <w:szCs w:val="18"/>
          <w:b w:val="1"/>
          <w:bCs w:val="1"/>
          <w:color w:val="auto"/>
        </w:rPr>
      </w:pPr>
    </w:p>
    <w:p>
      <w:pPr>
        <w:jc w:val="both"/>
        <w:ind w:right="20" w:firstLine="987"/>
        <w:spacing w:after="0" w:line="258" w:lineRule="auto"/>
        <w:tabs>
          <w:tab w:leader="none" w:pos="1265"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liability and indemnification obligations of SpinCo or any SpinCo Indemnified Party (in each case, in connection with the provision of Services by SpinCo and any SpinCo Indemnified Parties) and RemainCo or any RemainCo Indemnified Party (in each case, in connection with the receipt of Services by RemainCo and any RemainCo Indemnified Parties), as applicable, with respect to this Agreement, the Services or the transactions contemplated by this Agreement shall not exceed, in the aggregate in the applicable calendar year, the aggregate amount of Service Charges actually paid hereunder to or by such Party during such calendar year.</w:t>
      </w:r>
    </w:p>
    <w:p>
      <w:pPr>
        <w:spacing w:after="0" w:line="179"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8.02. </w:t>
      </w:r>
      <w:r>
        <w:rPr>
          <w:rFonts w:ascii="Times New Roman" w:cs="Times New Roman" w:eastAsia="Times New Roman" w:hAnsi="Times New Roman"/>
          <w:sz w:val="18"/>
          <w:szCs w:val="18"/>
          <w:u w:val="single" w:color="auto"/>
          <w:color w:val="auto"/>
        </w:rPr>
        <w:t>RemainCo Indemnification Obligation</w:t>
      </w:r>
      <w:r>
        <w:rPr>
          <w:rFonts w:ascii="Times New Roman" w:cs="Times New Roman" w:eastAsia="Times New Roman" w:hAnsi="Times New Roman"/>
          <w:sz w:val="18"/>
          <w:szCs w:val="18"/>
          <w:color w:val="auto"/>
        </w:rPr>
        <w:t>. Subject to the limitation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each Recipient shall indemnify,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 and hold harmless each SpinCo Indemnified Party from and against any and all losses, and shall reimburse each SpinCo Indemnified Party for all reasonable expenses as they are incurred, whether or not in connection with pending litigation and whether or not any SpinCo Indemnified Party is a Party, to the extent caused by, resulting from or in connection with RemainCo’s gross negligence or willful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140" w:name="page141"/>
    <w:bookmarkEnd w:id="140"/>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misconduct in using any of the Services rendered or to be rendered by or on behalf of SpinCo pursuant to this Agreement or material breach of this Agreement.</w:t>
      </w:r>
    </w:p>
    <w:p>
      <w:pPr>
        <w:spacing w:after="0" w:line="158" w:lineRule="exact"/>
        <w:rPr>
          <w:sz w:val="20"/>
          <w:szCs w:val="20"/>
          <w:color w:val="auto"/>
        </w:rPr>
      </w:pPr>
    </w:p>
    <w:p>
      <w:pPr>
        <w:jc w:val="both"/>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8.03. </w:t>
      </w:r>
      <w:r>
        <w:rPr>
          <w:rFonts w:ascii="Times New Roman" w:cs="Times New Roman" w:eastAsia="Times New Roman" w:hAnsi="Times New Roman"/>
          <w:sz w:val="18"/>
          <w:szCs w:val="18"/>
          <w:u w:val="single" w:color="auto"/>
          <w:color w:val="auto"/>
        </w:rPr>
        <w:t>SpinCo Indemnification Obligation</w:t>
      </w:r>
      <w:r>
        <w:rPr>
          <w:rFonts w:ascii="Times New Roman" w:cs="Times New Roman" w:eastAsia="Times New Roman" w:hAnsi="Times New Roman"/>
          <w:sz w:val="18"/>
          <w:szCs w:val="18"/>
          <w:color w:val="auto"/>
        </w:rPr>
        <w:t>. Subject to the limitations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SpinCo shall indemnify, defend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harmless each relevant Recipient and its Affiliates and Representatives (each, a “</w:t>
      </w:r>
      <w:r>
        <w:rPr>
          <w:rFonts w:ascii="Times New Roman" w:cs="Times New Roman" w:eastAsia="Times New Roman" w:hAnsi="Times New Roman"/>
          <w:sz w:val="18"/>
          <w:szCs w:val="18"/>
          <w:u w:val="single" w:color="auto"/>
          <w:color w:val="auto"/>
        </w:rPr>
        <w:t>RemainCo Indemnified Party</w:t>
      </w:r>
      <w:r>
        <w:rPr>
          <w:rFonts w:ascii="Times New Roman" w:cs="Times New Roman" w:eastAsia="Times New Roman" w:hAnsi="Times New Roman"/>
          <w:sz w:val="18"/>
          <w:szCs w:val="18"/>
          <w:color w:val="auto"/>
        </w:rPr>
        <w:t>”) from and against any and all losses, and shall reimburse each RemainCo Indemnified Party for all reasonable expenses as they are incurred, whether or not in connection with pending litigation and whether or not any RemainCo Indemnified Party is a Party, to the extent caused by, resulting from or arising out of or in connection with SpinCo’s gross negligence or willful misconduct in providing any of the Services rendered or to be rendered by or on behalf of SpinCo pursuant to this Agreement or any material breach of this Agreement.</w:t>
      </w:r>
    </w:p>
    <w:p>
      <w:pPr>
        <w:spacing w:after="0" w:line="182"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8.04. </w:t>
      </w:r>
      <w:r>
        <w:rPr>
          <w:rFonts w:ascii="Times New Roman" w:cs="Times New Roman" w:eastAsia="Times New Roman" w:hAnsi="Times New Roman"/>
          <w:sz w:val="18"/>
          <w:szCs w:val="18"/>
          <w:u w:val="single" w:color="auto"/>
          <w:color w:val="auto"/>
        </w:rPr>
        <w:t>Indemnification Procedure</w:t>
      </w:r>
      <w:r>
        <w:rPr>
          <w:rFonts w:ascii="Times New Roman" w:cs="Times New Roman" w:eastAsia="Times New Roman" w:hAnsi="Times New Roman"/>
          <w:sz w:val="18"/>
          <w:szCs w:val="18"/>
          <w:color w:val="auto"/>
        </w:rPr>
        <w:t>. The provisions set forth in Article V of the Separation Agreement shall apply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indemnification provisions of this Agreement, with such conforming changes thereto as are necessary to apply the provisions, and preserve the effect, thereof to the terms of this Agreement.</w:t>
      </w:r>
    </w:p>
    <w:p>
      <w:pPr>
        <w:spacing w:after="0" w:line="171"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8.05. </w:t>
      </w:r>
      <w:r>
        <w:rPr>
          <w:rFonts w:ascii="Times New Roman" w:cs="Times New Roman" w:eastAsia="Times New Roman" w:hAnsi="Times New Roman"/>
          <w:sz w:val="18"/>
          <w:szCs w:val="18"/>
          <w:u w:val="single" w:color="auto"/>
          <w:color w:val="auto"/>
        </w:rPr>
        <w:t>Liability for Payment Obligations</w:t>
      </w:r>
      <w:r>
        <w:rPr>
          <w:rFonts w:ascii="Times New Roman" w:cs="Times New Roman" w:eastAsia="Times New Roman" w:hAnsi="Times New Roman"/>
          <w:sz w:val="18"/>
          <w:szCs w:val="18"/>
          <w:color w:val="auto"/>
        </w:rPr>
        <w:t>. Nothing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eliminate or limit, in any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RemainCo’s or SpinCo’s express obligation in this Agreement to pay Termination Charges (to the extent applicable) or Service Charges for Services rendered in accordance with this Agreement.</w:t>
      </w:r>
    </w:p>
    <w:p>
      <w:pPr>
        <w:spacing w:after="0" w:line="171" w:lineRule="exact"/>
        <w:rPr>
          <w:sz w:val="20"/>
          <w:szCs w:val="20"/>
          <w:color w:val="auto"/>
        </w:rPr>
      </w:pPr>
    </w:p>
    <w:p>
      <w:pPr>
        <w:jc w:val="both"/>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8.06. </w:t>
      </w:r>
      <w:r>
        <w:rPr>
          <w:rFonts w:ascii="Times New Roman" w:cs="Times New Roman" w:eastAsia="Times New Roman" w:hAnsi="Times New Roman"/>
          <w:sz w:val="18"/>
          <w:szCs w:val="18"/>
          <w:u w:val="single" w:color="auto"/>
          <w:color w:val="auto"/>
        </w:rPr>
        <w:t>Exclusion of Other Remedies</w:t>
      </w:r>
      <w:r>
        <w:rPr>
          <w:rFonts w:ascii="Times New Roman" w:cs="Times New Roman" w:eastAsia="Times New Roman" w:hAnsi="Times New Roman"/>
          <w:sz w:val="18"/>
          <w:szCs w:val="18"/>
          <w:color w:val="auto"/>
        </w:rPr>
        <w:t>. The indemnification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sole and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monetary remedies of the SpinCo Indemnified Parties and the RemainCo Indemnified Parties, as applicable, for any claim, loss, damage, expense or liability, whether arising from statute, principle of common or civil law, principles of strict liability, tort, contract or otherwise arising under this Agreement, or in respect of the Services or actions taken by Parties in connection with the transactions contemplated by this Agreement.</w:t>
      </w:r>
    </w:p>
    <w:p>
      <w:pPr>
        <w:spacing w:after="0" w:line="176"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8.07. </w:t>
      </w: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Each Indemnified Party shall use its reasonable best efforts to mitigate any loss for which such Indemnified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seeks indemnification under this Agreement.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 AND TERMINATION; EXTENSION OF SERVICE PERIOD</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9.01. </w:t>
      </w: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987"/>
        <w:spacing w:after="0" w:line="266" w:lineRule="auto"/>
        <w:tabs>
          <w:tab w:leader="none" w:pos="1258"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Agreement shall commence immediately upon the Distribution Date and shall terminate upon the earlier to occur of: (i) the last date on which SpinCo is obligated to provide any Service to a Recipient (including for the purposes of this sub-section, the services described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in accordance with the terms hereof; and (ii) the mutual written agreement of the Parties to terminate this Agreement in its entirety.</w:t>
      </w:r>
    </w:p>
    <w:p>
      <w:pPr>
        <w:spacing w:after="0" w:line="175" w:lineRule="exact"/>
        <w:rPr>
          <w:rFonts w:ascii="Times New Roman" w:cs="Times New Roman" w:eastAsia="Times New Roman" w:hAnsi="Times New Roman"/>
          <w:sz w:val="18"/>
          <w:szCs w:val="18"/>
          <w:b w:val="1"/>
          <w:bCs w:val="1"/>
          <w:color w:val="auto"/>
        </w:rPr>
      </w:pPr>
    </w:p>
    <w:p>
      <w:pPr>
        <w:ind w:right="20" w:firstLine="987"/>
        <w:spacing w:after="0" w:line="282" w:lineRule="auto"/>
        <w:tabs>
          <w:tab w:leader="none" w:pos="1278"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any Recipient’s rights with respect to a Force Majeure Event, RemainCo may terminate this Agreement with respect to any Service, in whole (by Service line item) but not in part: (i) for any reason or no reason upon providing at least thirty (30) days’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141" w:name="page142"/>
    <w:bookmarkEnd w:id="141"/>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written notice to SpinCo of such termination (or such greater or smaller number of days as is provided in the Schedules) (it being understood that an early termination may result in Termination Charges being payable by RemainCo under this Agreement), or (ii) if SpinCo has failed to perform any of its material obligations under this Agreement with respect to such Service, and such failure shall continue to exist fifteen (15) days after receipt by SpinCo of written notice of such failure from RemainCo.</w:t>
      </w:r>
    </w:p>
    <w:p>
      <w:pPr>
        <w:spacing w:after="0" w:line="180" w:lineRule="exact"/>
        <w:rPr>
          <w:sz w:val="20"/>
          <w:szCs w:val="20"/>
          <w:color w:val="auto"/>
        </w:rPr>
      </w:pPr>
    </w:p>
    <w:p>
      <w:pPr>
        <w:jc w:val="both"/>
        <w:ind w:left="4" w:right="20" w:firstLine="987"/>
        <w:spacing w:after="0" w:line="266" w:lineRule="auto"/>
        <w:tabs>
          <w:tab w:leader="none" w:pos="1242" w:val="left"/>
        </w:tabs>
        <w:numPr>
          <w:ilvl w:val="1"/>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SpinCo may terminate this Agreement with respect to one or more Services, in whole (by Service line item) but not in part, at any time if a Recipient has failed to perform any of its material obligations under this Agreement relating to such Service, and such failure shall continue to exist for a period of thirty (30) days after receipt by RemainCo of a written notice of such failure from SpinCo.</w:t>
      </w:r>
    </w:p>
    <w:p>
      <w:pPr>
        <w:spacing w:after="0" w:line="175"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1"/>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Both Parties may terminate this Agreement with respect to one or more Services (i) immediately upon mutual written agreement or</w:t>
      </w:r>
    </w:p>
    <w:p>
      <w:pPr>
        <w:spacing w:after="0" w:line="27" w:lineRule="exact"/>
        <w:rPr>
          <w:rFonts w:ascii="Times New Roman" w:cs="Times New Roman" w:eastAsia="Times New Roman" w:hAnsi="Times New Roman"/>
          <w:sz w:val="18"/>
          <w:szCs w:val="18"/>
          <w:b w:val="1"/>
          <w:bCs w:val="1"/>
          <w:color w:val="auto"/>
        </w:rPr>
      </w:pPr>
    </w:p>
    <w:p>
      <w:pPr>
        <w:jc w:val="both"/>
        <w:ind w:left="4" w:right="20" w:hanging="4"/>
        <w:spacing w:after="0" w:line="255" w:lineRule="auto"/>
        <w:tabs>
          <w:tab w:leader="none" w:pos="28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written notice to the other Party in the event that such other Party: (1) commences, or has commenced against it, proceedings under bankruptcy, insolvency or debtor’s relief Laws or similar Laws in any other jurisdiction; (2) makes a general assignment for the benefit of its creditors; or (3) ceases operations or is liquidated or dissolved.</w:t>
      </w:r>
    </w:p>
    <w:p>
      <w:pPr>
        <w:spacing w:after="0" w:line="185"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70" w:val="left"/>
        </w:tabs>
        <w:numPr>
          <w:ilvl w:val="1"/>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termination of this Agreement with respect to one or more Services, the relevant Schedule shall be updated to reflect any terminated Service. In the event that the effective date of the termination of any Service is a day other than the last day of a Service Period, any periodic Service Charge associated with such Service shall be pro-rated appropriately.</w:t>
      </w:r>
    </w:p>
    <w:p>
      <w:pPr>
        <w:spacing w:after="0" w:line="175" w:lineRule="exact"/>
        <w:rPr>
          <w:rFonts w:ascii="Times New Roman" w:cs="Times New Roman" w:eastAsia="Times New Roman" w:hAnsi="Times New Roman"/>
          <w:sz w:val="18"/>
          <w:szCs w:val="18"/>
          <w:b w:val="1"/>
          <w:bCs w:val="1"/>
          <w:color w:val="auto"/>
        </w:rPr>
      </w:pPr>
    </w:p>
    <w:p>
      <w:pPr>
        <w:jc w:val="both"/>
        <w:ind w:left="4" w:firstLine="987"/>
        <w:spacing w:after="0" w:line="253" w:lineRule="auto"/>
        <w:tabs>
          <w:tab w:leader="none" w:pos="1222" w:val="left"/>
        </w:tabs>
        <w:numPr>
          <w:ilvl w:val="1"/>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RemainCo may from time to time request in writing a reduction or increase in part of the scope of any Service (it being understood that a reduction may result in Termination Charges being payable by RemainCo under this Agreement). If requested to do so by RemainCo, SpinCo agrees to discuss in good faith the potential reduction or increase in scope and any applicable reductions or increases to the Service Charges in light of all relevant factors including the costs and benefits to SpinCo of any such reductions or increases and (in the case of reductions in scope) any applicable Termination Charges. With respect to any Services that SpinCo has agreed to reduce or increase, the relevant Schedule shall be updated to reflect any such agreed upon reduction or increase in the Service in the level of service provided and the corresponding Service Charges shall be either reduced or increased, as applicable, to the extent the incremental cost to SpinCo of providing such Services is reduced or increased, as applicable, provided, and for clarity, any such increase in a Service Charge shall not be based on any increased incremental costs to SpinCo already embodied in a Termination Charge paid or payable by RemainCo hereunder. For the avoidance of doubt, SpinCo is not obligated to reduce or increase the scope of any Services or relevant Service Charges.</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Section 9.02. </w:t>
      </w:r>
      <w:r>
        <w:rPr>
          <w:rFonts w:ascii="Times New Roman" w:cs="Times New Roman" w:eastAsia="Times New Roman" w:hAnsi="Times New Roman"/>
          <w:sz w:val="18"/>
          <w:szCs w:val="18"/>
          <w:u w:val="single" w:color="auto"/>
          <w:color w:val="auto"/>
        </w:rPr>
        <w:t>Effect of Termination of 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20" w:firstLine="987"/>
        <w:spacing w:after="0" w:line="261" w:lineRule="auto"/>
        <w:tabs>
          <w:tab w:leader="none" w:pos="1252"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Upon termination (for any reason other than expiration of the Service Period duration) or reduction of any Service (in whole or in part) pursuant to this Agreement, (A) RemainCo shall bear all Termination Charges, to the extent applicable, other than Termination Charges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as SpinCo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SpinCo shall not be under any obligation to pay any Termination Charges with respect to any termination of any Service by SpinCo pursuant to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9.01(d)(ii)</w:t>
      </w:r>
      <w:r>
        <w:rPr>
          <w:rFonts w:ascii="Times New Roman" w:cs="Times New Roman" w:eastAsia="Times New Roman" w:hAnsi="Times New Roman"/>
          <w:sz w:val="18"/>
          <w:szCs w:val="18"/>
          <w:color w:val="auto"/>
        </w:rPr>
        <w:t xml:space="preserve"> (and, for the avoidance of</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142" w:name="page143"/>
    <w:bookmarkEnd w:id="142"/>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doubt, any such Termination Charges shall be borne by RemainCo);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SpinCo shall bear all Termination Charges with respect to any termination of any Service by RemainCo pursuant to </w:t>
      </w:r>
      <w:r>
        <w:rPr>
          <w:rFonts w:ascii="Times New Roman" w:cs="Times New Roman" w:eastAsia="Times New Roman" w:hAnsi="Times New Roman"/>
          <w:sz w:val="18"/>
          <w:szCs w:val="18"/>
          <w:u w:val="single" w:color="auto"/>
          <w:color w:val="auto"/>
        </w:rPr>
        <w:t>Section 9.01(c)(ii)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9.01(d)(ii)</w:t>
      </w:r>
      <w:r>
        <w:rPr>
          <w:rFonts w:ascii="Times New Roman" w:cs="Times New Roman" w:eastAsia="Times New Roman" w:hAnsi="Times New Roman"/>
          <w:sz w:val="18"/>
          <w:szCs w:val="18"/>
          <w:color w:val="auto"/>
        </w:rPr>
        <w:t xml:space="preserve">. All Termination Charges shall be invoiced and paid as provided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4" w:right="20" w:firstLine="987"/>
        <w:spacing w:after="0" w:line="269" w:lineRule="auto"/>
        <w:tabs>
          <w:tab w:leader="none" w:pos="1292" w:val="left"/>
        </w:tabs>
        <w:numPr>
          <w:ilvl w:val="1"/>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Upon termination of any Service pursuant to this Agreement, SpinCo shall have no further obligation to provide the terminated Service, and RemainCo shall have no obligation to pay any future Service Charges relating to any such Service;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RemainCo shall remain obligated to SpinCo for the (i) Service Charges and other fees, costs and expenses (if any) owed and payable under the terms of this Agreement in respect of Services provided prior to the effective date of termination, including Service Charges that are billed in arrears, (ii) Termination Charges, only to the extent applicable, as invoiced by SpinCo to RemainCo;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such Termination Charges must be invoiced by SpinCo within thirty</w:t>
      </w:r>
    </w:p>
    <w:p>
      <w:pPr>
        <w:spacing w:after="0" w:line="2" w:lineRule="exact"/>
        <w:rPr>
          <w:rFonts w:ascii="Times New Roman" w:cs="Times New Roman" w:eastAsia="Times New Roman" w:hAnsi="Times New Roman"/>
          <w:sz w:val="17"/>
          <w:szCs w:val="17"/>
          <w:b w:val="1"/>
          <w:bCs w:val="1"/>
          <w:color w:val="auto"/>
        </w:rPr>
      </w:pPr>
    </w:p>
    <w:p>
      <w:pPr>
        <w:jc w:val="both"/>
        <w:ind w:left="4" w:hanging="4"/>
        <w:spacing w:after="0" w:line="251" w:lineRule="auto"/>
        <w:tabs>
          <w:tab w:leader="none" w:pos="34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early termination of a Service. Upon termination of any Service pursuant to this Agreement, SpinCo shall reduce for the next monthly billing period the amount of the Service Charge for the category of Services in which the terminated Service was included (such reduction to reflect the elimination of all costs incurred in connection with the terminated service to the extent the same are not required to provide other Services to RemainCo), and, upon request of RemainCo, SpinCo shall provide RemainCo with documentation or information regarding the calculation of the amount of the reduction. In connection with termination of any Service, the provisions of this Agreement not relating solely to such terminated Service shall survive any such termination. In connection with a termination of this Agreement,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(including liability in respect of any indemnifiable losses under this Agreement arising or occurring on or prior to the date of termination),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all confidentiality obligations under this Agreement and liability for all due and unpaid Service Charges and Termination Charges (to the extent applicable) shall continue to survive indefinitely.</w:t>
      </w:r>
    </w:p>
    <w:p>
      <w:pPr>
        <w:spacing w:after="0" w:line="189" w:lineRule="exact"/>
        <w:rPr>
          <w:sz w:val="20"/>
          <w:szCs w:val="20"/>
          <w:color w:val="auto"/>
        </w:rPr>
      </w:pPr>
    </w:p>
    <w:p>
      <w:pPr>
        <w:jc w:val="both"/>
        <w:ind w:left="4"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9.03.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(nor any Person acting on its behalf) shall be liable to the other Party for any loss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delay or failure in the performance of any obligation hereunder which is due to fire, flood, war, acts of God, strikes, riots, pandemic, Governmental Authority, or other causes beyond its reasonable control (a “</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so affected shall notify the other Party in writing promptly upon the onset of any Force Majeure Event, shall use commercially reasonable efforts to mitigate the effect of any Force Majeure Event to the extent reasonably practical, and notify the other Party in writing promptly upon the termination of any Force Majeure Event. In the event that SpinCo is unable to provide any Service due to a Force Majeure Event, RemainCo shall be relieved of its obligation to pay for any such Service to the extent not provided (including any Termination Charges payable by RemainCo pursuant to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Force Majeure Event shall not relieve RemainCo from its payment obligations under this Agreement with respect to the Services actually performed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4309110</wp:posOffset>
            </wp:positionH>
            <wp:positionV relativeFrom="paragraph">
              <wp:posOffset>-1125855</wp:posOffset>
            </wp:positionV>
            <wp:extent cx="285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8" w:lineRule="exact"/>
        <w:rPr>
          <w:sz w:val="20"/>
          <w:szCs w:val="20"/>
          <w:color w:val="auto"/>
        </w:rPr>
      </w:pPr>
    </w:p>
    <w:p>
      <w:pPr>
        <w:jc w:val="both"/>
        <w:ind w:left="4"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9.04. </w:t>
      </w:r>
      <w:r>
        <w:rPr>
          <w:rFonts w:ascii="Times New Roman" w:cs="Times New Roman" w:eastAsia="Times New Roman" w:hAnsi="Times New Roman"/>
          <w:sz w:val="18"/>
          <w:szCs w:val="18"/>
          <w:u w:val="single" w:color="auto"/>
          <w:color w:val="auto"/>
        </w:rPr>
        <w:t>Extension of Service Period</w:t>
      </w:r>
      <w:r>
        <w:rPr>
          <w:rFonts w:ascii="Times New Roman" w:cs="Times New Roman" w:eastAsia="Times New Roman" w:hAnsi="Times New Roman"/>
          <w:sz w:val="18"/>
          <w:szCs w:val="18"/>
          <w:color w:val="auto"/>
        </w:rPr>
        <w:t>. Upon sixty (60) days’ advance written notice prior to the expiration of the Service Period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Service, RemainCo may request a service extension. Provided that RemainCo has been using good faith efforts to migrate off of or replace such Service prior to the end of the applicable Service Period, SpinCo shall use commercially reasonable efforts to accommodate any such extension. If such a request is made, the Parties shall discuss in good faith the requested scope, duration and other terms, including applicable Service Charge, of such proposed extension. In no event shall the term (meaning the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143" w:name="page144"/>
    <w:bookmarkEnd w:id="143"/>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initial term and extension period, including any extension periods previously permitted under this Agreement) of a particular Service exceed the maximum period permitted under any third-party agreement(s) that exist as of the date hereof and are necessary to provide or support such Service.</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3" w:lineRule="exact"/>
        <w:rPr>
          <w:sz w:val="20"/>
          <w:szCs w:val="20"/>
          <w:color w:val="auto"/>
        </w:rPr>
      </w:pPr>
    </w:p>
    <w:p>
      <w:pPr>
        <w:jc w:val="both"/>
        <w:ind w:left="4"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10.01. </w:t>
      </w: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Nothing contained herein is intended or shall be deemed to make any Party or its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the agent, employee, partner or joint venture of any other Party or its Affiliates or be deemed to provide such Party or its Affiliates with the power or authority to act on behalf of the other Party or its Affiliates or to bind the other Party or its Affiliates to any Contract, agreement or arrangement with any other individual or entity. SpinCo shall act as an independent contractor and not as the agent of any Recipient in performing such Service, maintaining control over its employees, its subcontractors and their employees and complying with all withholding of income at source requirements, whether federal, state, local or foreign.</w:t>
      </w:r>
    </w:p>
    <w:p>
      <w:pPr>
        <w:spacing w:after="0" w:line="182" w:lineRule="exact"/>
        <w:rPr>
          <w:sz w:val="20"/>
          <w:szCs w:val="20"/>
          <w:color w:val="auto"/>
        </w:rPr>
      </w:pPr>
    </w:p>
    <w:p>
      <w:pPr>
        <w:jc w:val="both"/>
        <w:ind w:left="4"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10.02. </w:t>
      </w:r>
      <w:r>
        <w:rPr>
          <w:rFonts w:ascii="Times New Roman" w:cs="Times New Roman" w:eastAsia="Times New Roman" w:hAnsi="Times New Roman"/>
          <w:sz w:val="18"/>
          <w:szCs w:val="18"/>
          <w:u w:val="single" w:color="auto"/>
          <w:color w:val="auto"/>
        </w:rPr>
        <w:t>Subcontractors</w:t>
      </w:r>
      <w:r>
        <w:rPr>
          <w:rFonts w:ascii="Times New Roman" w:cs="Times New Roman" w:eastAsia="Times New Roman" w:hAnsi="Times New Roman"/>
          <w:sz w:val="18"/>
          <w:szCs w:val="18"/>
          <w:color w:val="auto"/>
        </w:rPr>
        <w:t>. SpinCo may hire or engage one or more subcontractors to perform any or all of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SpinCo shall use the same degree of care in selecting any such subcontractor as it would if such subcontractor was being retained to provide similar services to SpinCo; and (b) SpinCo shall in all cases remain primarily responsible for all of its obligations hereunder with respect to the scope of the Services, the standard for Services as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and the content of the Services provided to the relevant Recipient.</w:t>
      </w:r>
    </w:p>
    <w:p>
      <w:pPr>
        <w:spacing w:after="0" w:line="17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Section 10.03. </w:t>
      </w:r>
      <w:r>
        <w:rPr>
          <w:rFonts w:ascii="Times New Roman" w:cs="Times New Roman" w:eastAsia="Times New Roman" w:hAnsi="Times New Roman"/>
          <w:sz w:val="18"/>
          <w:szCs w:val="18"/>
          <w:u w:val="single" w:color="auto"/>
          <w:color w:val="auto"/>
        </w:rPr>
        <w:t>Treatment of Confidential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987"/>
        <w:spacing w:after="0" w:line="269" w:lineRule="auto"/>
        <w:tabs>
          <w:tab w:leader="none" w:pos="1256" w:val="left"/>
        </w:tabs>
        <w:numPr>
          <w:ilvl w:val="1"/>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 Parties acknowledge that, by reason of their relationship and the provision and receipt of Services, each Party may have access to Confidential Information concerning the other Party’s business, products and services. Each Party agrees that it shall not, and shall cause its Affiliates and its and its Affiliates’ officers, directors, members, managers, partners, employees, agents and other personnel not to, use in any way, for their own account or the account of any third party, or disclose to any third party, any such Confidential Information without prior written authorization from the disclosing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each Party may disclose Confidential Information of the other Party, to the extent permitted by applicable Law:</w:t>
      </w:r>
    </w:p>
    <w:p>
      <w:pPr>
        <w:spacing w:after="0" w:line="2" w:lineRule="exact"/>
        <w:rPr>
          <w:rFonts w:ascii="Times New Roman" w:cs="Times New Roman" w:eastAsia="Times New Roman" w:hAnsi="Times New Roman"/>
          <w:sz w:val="17"/>
          <w:szCs w:val="17"/>
          <w:b w:val="1"/>
          <w:bCs w:val="1"/>
          <w:color w:val="auto"/>
        </w:rPr>
      </w:pPr>
    </w:p>
    <w:p>
      <w:pPr>
        <w:jc w:val="both"/>
        <w:ind w:left="4" w:right="20" w:hanging="4"/>
        <w:spacing w:after="0" w:line="251" w:lineRule="auto"/>
        <w:tabs>
          <w:tab w:leader="none" w:pos="22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Representatives on a need-to-know basis in connection with the performance of such Party’s obligations under this Agreement; or (ii) in order to comply with applicable Law or in response to any summons, subpoena or other legal process or formal or informal investigative demand issued to the disclosing Party in the course of any litigation, investigation or administrative proceeding. In the event that a Party becomes legally compelled (based on advice of counsel) by judicial, investigative or administrative process to disclose any Confidential Information of the other Party, such disclosing Party (to the extent legally permitted) shall provide the other Party with prompt prior written notice of such requirement, and, to the extent reasonably practicable, cooperate with the other Party (at such other Party’s expense) to obtain a protective order or similar remedy to cause such Confidential Information not to be disclosed, including interposing all available objections thereto, such as objections based on settlement privilege. In the event that such protective order or other similar remedy is not obtained, the disclosing Party shall furnish only that portion of the Confidential Information that has been legally compelled and shall exercise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144" w:name="page145"/>
    <w:bookmarkEnd w:id="144"/>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reasonable best efforts (at such other Party’s expense) to obtain assurance that confidential treatment shall be accorded such Confidential Information. In the event that a Party becomes legally required (based on advice of counsel) to disclose Confidential Information pursuant to stock exchange rules or securities Laws, the disclosing Party shall allow the other Party a reasonable opportunity to review and comment on the portion of such disclosure containing or reflecting Confidential Information, prior to the disclosure thereof.</w:t>
      </w:r>
    </w:p>
    <w:p>
      <w:pPr>
        <w:spacing w:after="0" w:line="180" w:lineRule="exact"/>
        <w:rPr>
          <w:sz w:val="20"/>
          <w:szCs w:val="20"/>
          <w:color w:val="auto"/>
        </w:rPr>
      </w:pPr>
    </w:p>
    <w:p>
      <w:pPr>
        <w:jc w:val="both"/>
        <w:ind w:firstLine="987"/>
        <w:spacing w:after="0" w:line="266" w:lineRule="auto"/>
        <w:tabs>
          <w:tab w:leader="none" w:pos="1279"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shall, and shall cause its Representatives to, protect the Confidential Information of the other Party by using the same degree of care to prevent the unauthorized disclosure of such Confidential Information as the Party uses to protect its own Confidential Information of a like nature, which shall not be less than a reasonable standard of care.</w:t>
      </w:r>
    </w:p>
    <w:p>
      <w:pPr>
        <w:spacing w:after="0" w:line="175" w:lineRule="exact"/>
        <w:rPr>
          <w:rFonts w:ascii="Times New Roman" w:cs="Times New Roman" w:eastAsia="Times New Roman" w:hAnsi="Times New Roman"/>
          <w:sz w:val="18"/>
          <w:szCs w:val="18"/>
          <w:b w:val="1"/>
          <w:bCs w:val="1"/>
          <w:color w:val="auto"/>
        </w:rPr>
      </w:pPr>
    </w:p>
    <w:p>
      <w:pPr>
        <w:jc w:val="both"/>
        <w:ind w:right="20" w:firstLine="987"/>
        <w:spacing w:after="0" w:line="266" w:lineRule="auto"/>
        <w:tabs>
          <w:tab w:leader="none" w:pos="1243"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shall inform its Representatives and Affiliates of the confidential nature of the information and direct them to abide by the terms hereof in advance of the disclosure of any such Confidential Information to them. Such disclosing Party shall be responsible for any breach of this Agreement by such Representatives or Affiliates, as if such Representatives or Affiliates were a party hereto.</w:t>
      </w:r>
    </w:p>
    <w:p>
      <w:pPr>
        <w:spacing w:after="0" w:line="175" w:lineRule="exact"/>
        <w:rPr>
          <w:rFonts w:ascii="Times New Roman" w:cs="Times New Roman" w:eastAsia="Times New Roman" w:hAnsi="Times New Roman"/>
          <w:sz w:val="18"/>
          <w:szCs w:val="18"/>
          <w:b w:val="1"/>
          <w:bCs w:val="1"/>
          <w:color w:val="auto"/>
        </w:rPr>
      </w:pPr>
    </w:p>
    <w:p>
      <w:pPr>
        <w:ind w:right="20" w:firstLine="987"/>
        <w:spacing w:after="0" w:line="282" w:lineRule="auto"/>
        <w:tabs>
          <w:tab w:leader="none" w:pos="1258"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Party shall comply with this Agreement, including but not limited to this </w:t>
      </w:r>
      <w:r>
        <w:rPr>
          <w:rFonts w:ascii="Times New Roman" w:cs="Times New Roman" w:eastAsia="Times New Roman" w:hAnsi="Times New Roman"/>
          <w:sz w:val="18"/>
          <w:szCs w:val="18"/>
          <w:u w:val="single" w:color="auto"/>
          <w:color w:val="auto"/>
        </w:rPr>
        <w:t>Section 10.03(d)</w:t>
      </w:r>
      <w:r>
        <w:rPr>
          <w:rFonts w:ascii="Times New Roman" w:cs="Times New Roman" w:eastAsia="Times New Roman" w:hAnsi="Times New Roman"/>
          <w:sz w:val="18"/>
          <w:szCs w:val="18"/>
          <w:color w:val="auto"/>
        </w:rPr>
        <w:t xml:space="preserve"> and all applicable Laws that are or that may in the future be applicable to the provision of Services hereunder.</w:t>
      </w:r>
    </w:p>
    <w:p>
      <w:pPr>
        <w:spacing w:after="0" w:line="161" w:lineRule="exact"/>
        <w:rPr>
          <w:rFonts w:ascii="Times New Roman" w:cs="Times New Roman" w:eastAsia="Times New Roman" w:hAnsi="Times New Roman"/>
          <w:sz w:val="18"/>
          <w:szCs w:val="18"/>
          <w:b w:val="1"/>
          <w:bCs w:val="1"/>
          <w:color w:val="auto"/>
        </w:rPr>
      </w:pPr>
    </w:p>
    <w:p>
      <w:pPr>
        <w:jc w:val="both"/>
        <w:ind w:right="20" w:firstLine="987"/>
        <w:spacing w:after="0" w:line="261" w:lineRule="auto"/>
        <w:tabs>
          <w:tab w:leader="none" w:pos="1258"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Party shall use reasonable best efforts to ensure that at completion of specific Services or termination of this Agreement, all access to Confidential Information of the other Party that was provided for purposes of SpinCo providing such Services to any Recipient, including any access rights provided under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hereof, will be terminated, including cancellation of all user identifications and passwords related thereto, if any, and any Confidential Information of the other Party will be deleted or returned to such other Party.</w:t>
      </w:r>
    </w:p>
    <w:p>
      <w:pPr>
        <w:spacing w:after="0" w:line="176" w:lineRule="exact"/>
        <w:rPr>
          <w:sz w:val="20"/>
          <w:szCs w:val="20"/>
          <w:color w:val="auto"/>
        </w:rPr>
      </w:pPr>
    </w:p>
    <w:p>
      <w:pPr>
        <w:jc w:val="both"/>
        <w:ind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10.04.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following the Distribution, the Parties shall, and shall cause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to, execute, acknowledge and deliver all reasonable further conveyances, notices, assumptions, releases and acquittances and such instruments, and shall take such reasonable actions as may be necessary or appropriate to make effective the transactions contemplated hereby as may be reasonably requested by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require either Party or its Affiliates to pay money to, commence or participate in any action or proceeding with respect to, or offer or grant any accommodation (financial or otherwise) to, any third-party following the date hereof.</w:t>
      </w:r>
    </w:p>
    <w:p>
      <w:pPr>
        <w:spacing w:after="0" w:line="182"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10.05.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Interpretation of this Agreement shall be governed by the rules of construction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 of the Separation Agreement.</w:t>
      </w:r>
    </w:p>
    <w:p>
      <w:pPr>
        <w:spacing w:after="0" w:line="155"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with respect to routine communications by the SpinCo Services Manager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all 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communications under this Agreement shall be made in accordance with Section 8.13 of the Separation Agreement.</w:t>
      </w:r>
    </w:p>
    <w:p>
      <w:pPr>
        <w:spacing w:after="0" w:line="155" w:lineRule="exact"/>
        <w:rPr>
          <w:sz w:val="20"/>
          <w:szCs w:val="20"/>
          <w:color w:val="auto"/>
        </w:rPr>
      </w:pPr>
    </w:p>
    <w:p>
      <w:pPr>
        <w:jc w:val="both"/>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provisions of this Agreement will remain in full force and effect. Any provision of this Agreement held invalid or unenforceable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145" w:name="page146"/>
    <w:bookmarkEnd w:id="145"/>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only in part or degree will remain in full force and effect to the extent not held invalid or unenforceable. The Parties will replace such invalid or unenforceable provision of this Agreement with a valid and enforceable provision that will achieve, to the extent possible, the economic, business and other purposes of such invalid or unenforceable provision.</w:t>
      </w:r>
    </w:p>
    <w:p>
      <w:pPr>
        <w:spacing w:after="0" w:line="172" w:lineRule="exact"/>
        <w:rPr>
          <w:sz w:val="20"/>
          <w:szCs w:val="20"/>
          <w:color w:val="auto"/>
        </w:rPr>
      </w:pPr>
    </w:p>
    <w:p>
      <w:pPr>
        <w:jc w:val="both"/>
        <w:ind w:left="4" w:right="20" w:firstLine="991"/>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10.08.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This Agreement will be binding upon and inure to the benefit of and be enforceable by the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successors and permitted assigns of the Parties. Except as otherwise provided for in this Agreement, neither this Agreement nor any right, interest or obligation arising under this Agreement shall be assignable, in whole or in part, directly or indirectly, by either Party without the prior written consent of the other Party, and any attempt to assign any rights, interests or obligations arising under this Agreement without such consent shall be void;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 a Party may assign any or all of its rights, interests and obligations hereunder to a member of such Party’s Group, so long as such assignee agrees pursuant to an agreement in writing reasonably satisfactory to the other Party to be bound by the terms of this Agreement as if named a “Party” hereto,</w:t>
      </w:r>
    </w:p>
    <w:p>
      <w:pPr>
        <w:spacing w:after="0" w:line="4" w:lineRule="exact"/>
        <w:rPr>
          <w:sz w:val="20"/>
          <w:szCs w:val="20"/>
          <w:color w:val="auto"/>
        </w:rPr>
      </w:pPr>
    </w:p>
    <w:p>
      <w:pPr>
        <w:jc w:val="both"/>
        <w:ind w:left="4" w:hanging="4"/>
        <w:spacing w:after="0" w:line="251" w:lineRule="auto"/>
        <w:tabs>
          <w:tab w:leader="none" w:pos="28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Party may assign this Agreement or any or all of its rights, interests and obligations hereunder in connection with a merger, reorganization or consolidation transaction in which such Party is a constituent party but not the surviving entity or the sale by such Party of all or substantially all of its Assets, so long as the surviving entity of such merger, reorganization or consolidation transaction or the transferee of such Assets shall assume all the obligations of the relevant Party by operation of law or pursuant to an agreement in writing, reasonably satisfactory to the other Party, to be bound by the terms of this Agreement as if named as a “Party” hereto, and (iii) a Party may assign this Agreement or any or all of its rights, interests and obligations hereunder in connection with a sale or disposition of any Assets or lines of business of such Party, so long as such assignee agrees pursuant to an agreement in writing reasonably satisfactory to the other Party to be bound by the terms of this Agreement as if named a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assignment pursuant to the foregoing clause (ii) or this clause (iii), (A) the non-assigning Party shall not be required to perform any obligation under this Agreement that would result in the breach or violation of any third party Contract by such Party or its Affiliates without the prior written consent of the non-assigning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case of each of the preceding clauses, no assignment permitted by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release the assigning Party from liability for the full performance of its obligations under this Agreement, unless agreed to in writing by the non-assigning Party. Notwithstanding the foregoing, rights and obligations of RemainCo under this Agreement may be assigned as and to the extent provided in the Separation Agreement.</w:t>
      </w:r>
    </w:p>
    <w:p>
      <w:pPr>
        <w:spacing w:after="0" w:line="188" w:lineRule="exact"/>
        <w:rPr>
          <w:sz w:val="20"/>
          <w:szCs w:val="20"/>
          <w:color w:val="auto"/>
        </w:rPr>
      </w:pPr>
    </w:p>
    <w:p>
      <w:pPr>
        <w:jc w:val="both"/>
        <w:ind w:left="4"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10.09.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Except as expressly set forth herein with respect to SpinCo Indemnified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RemainCo Indemnified Parties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 the provisions of this Agreement are solely for the benefit of the Parties hereto and are not intended to confer upon any Person except the Parties hereto any rights or remedies hereunder and (b) there are no third-party beneficiaries of this Agreement and this Agreement shall not provide any third person with any remedy, claim, liability, reimbursement, cause of action or other right in excess of those existing without reference to this Agreement.</w:t>
      </w:r>
    </w:p>
    <w:p>
      <w:pPr>
        <w:spacing w:after="0" w:line="179" w:lineRule="exact"/>
        <w:rPr>
          <w:sz w:val="20"/>
          <w:szCs w:val="20"/>
          <w:color w:val="auto"/>
        </w:rPr>
      </w:pPr>
    </w:p>
    <w:p>
      <w:pPr>
        <w:jc w:val="both"/>
        <w:ind w:left="4"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Annexes or Exhibits hereto and the documents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referenced herein) and the Separation Agreement contain the entire agreement between the Parties with respect to the subject matter hereof and supersede all previous agreements, negotiations, discussions, writings, understandings, commitments and conversations with respect to such subject matter, and there are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70" w:right="439" w:bottom="1440" w:gutter="0" w:footer="0" w:header="0"/>
        </w:sectPr>
      </w:pPr>
    </w:p>
    <w:bookmarkStart w:id="146" w:name="page147"/>
    <w:bookmarkEnd w:id="146"/>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agreements or understandings between the Parties with respect to the subject matter hereof other than those set forth or referred to herein or therein which will survive and remain in full force and effect . In the event of conflict or inconsistency between the provisions of this Agreement, on the one hand, and the provisions of any Local Implementing Agreement (including any provision of a Local Implementing Agreement providing for dispute resolution mechanisms inconsistent with those provided herein), on the other hand, the provisions of this Agreement shall prevail and remain in full force and effect. Each Party hereto shall, and shall cause each of its Subsidiaries to, implement the provisions of and the transactions contemplated by the Local Implementing Agreement in accordance with the immediately preceding sentence.</w:t>
      </w:r>
    </w:p>
    <w:p>
      <w:pPr>
        <w:spacing w:after="0" w:line="183" w:lineRule="exact"/>
        <w:rPr>
          <w:sz w:val="20"/>
          <w:szCs w:val="20"/>
          <w:color w:val="auto"/>
        </w:rPr>
      </w:pPr>
    </w:p>
    <w:p>
      <w:pPr>
        <w:jc w:val="both"/>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all Exhibits and Schedules) may be amended, restated, supplemented or otherwise modified, only by written agreement duly executed by an authorized representative of each Party. No consent from any Indemnified Party under ARTICLE VIII (in each case other than the Parties) shall be required to amend this Agreement. Nothing in this Agreement will constitute an amendment to any plan or program sponsored by RemainCo, and no RemainCo plan or program will be amended absent a separate written amendment that complies with the plan’s or program’s amendment procedures.</w:t>
      </w:r>
    </w:p>
    <w:p>
      <w:pPr>
        <w:spacing w:after="0" w:line="179" w:lineRule="exact"/>
        <w:rPr>
          <w:sz w:val="20"/>
          <w:szCs w:val="20"/>
          <w:color w:val="auto"/>
        </w:rPr>
      </w:pPr>
    </w:p>
    <w:p>
      <w:pPr>
        <w:jc w:val="both"/>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or delay of any Party (or the applicable member of its Group) in exercising any right or remedy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Waiver by any Party of any default by the other Party of any provision of this Agreement shall not be deemed a waiver by the waiving Party of any subsequent or other default.</w:t>
      </w:r>
    </w:p>
    <w:p>
      <w:pPr>
        <w:spacing w:after="0" w:line="179" w:lineRule="exact"/>
        <w:rPr>
          <w:sz w:val="20"/>
          <w:szCs w:val="20"/>
          <w:color w:val="auto"/>
        </w:rPr>
      </w:pPr>
    </w:p>
    <w:p>
      <w:pPr>
        <w:jc w:val="both"/>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TSA Dispute, shall be governed by, and construed and enforced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Laws of the State of Delaware, regardless of the Laws that might otherwise govern under applicable principles of conflicts of Laws thereof. SpinCo shall cause the SpinCo Indemnified Parties, and RemainCo shall cause the RemainCo Indemnified Parties, to comply with the foregoing and with Section 7.01 as though such Indemnified Parties were a Party to this Agreement.</w:t>
      </w:r>
    </w:p>
    <w:p>
      <w:pPr>
        <w:spacing w:after="0" w:line="176"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All claims, obligations, liabilities, or causes of action (whether in contract or in tort, in law or in equity,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(and are expressly limited to) the entities that are expressly identified as Parties to this Agreement. No Person who is not a Party, including any past, present or future director, officer, employee, incorporator, member, partner, manager, stockholder, Affiliate, agent, attorney, or representative of, and any financial advisor or lender to, any Party, or any director, officer, employee, incorporator, member, partner, manager, stockholder, Affiliate, agent, attorney, or representative of, and any financial advisor or lender to, any of the foregoing (“</w:t>
      </w:r>
      <w:r>
        <w:rPr>
          <w:rFonts w:ascii="Times New Roman" w:cs="Times New Roman" w:eastAsia="Times New Roman" w:hAnsi="Times New Roman"/>
          <w:sz w:val="18"/>
          <w:szCs w:val="18"/>
          <w:u w:val="single" w:color="auto"/>
          <w:color w:val="auto"/>
        </w:rPr>
        <w:t>Nonparty Affiliates</w:t>
      </w:r>
      <w:r>
        <w:rPr>
          <w:rFonts w:ascii="Times New Roman" w:cs="Times New Roman" w:eastAsia="Times New Roman" w:hAnsi="Times New Roman"/>
          <w:sz w:val="18"/>
          <w:szCs w:val="18"/>
          <w:color w:val="auto"/>
        </w:rPr>
        <w:t>”), shall have any liability (whether in contract or in tort, in law or in equity, or granted by statute) for any claims, causes of action, obligations, or liabilities arising under, out of, in connection with, or related in any manner to, this Agreement or based on, in respect of, or by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147" w:name="page148"/>
    <w:bookmarkEnd w:id="147"/>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 of this Agreement or its negotiation, execution, performance, or breach; and, to the maximum extent permitted by Law, each Party hereby waives and releases all such liabilities, claims, causes of action, and obligations against any such Nonparty Affiliates.</w:t>
      </w:r>
    </w:p>
    <w:p>
      <w:pPr>
        <w:spacing w:after="0" w:line="158"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counterparts shall be considered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and the same agreement, and shall become effective when one or more counterparts have been signed by each Party and delivered to the other Party. This Agreement may be executed by facsimile or PDF signature and scanned and exchanged by electronic mail, and such facsimile or PDF signature or scanned and exchanged copies shall constitute an original for all purposes.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THE PAGE INTENTIONALLY LEFT BLANK]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148" w:name="page149"/>
    <w:bookmarkEnd w:id="148"/>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on the date first written above by their respective duly authorized officers.</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Faga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FIRST TRACKS BIOTHERAPEUTICS,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Faga</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RANSACTION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ERVICES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149" w:name="page150"/>
    <w:bookmarkEnd w:id="149"/>
    <w:p>
      <w:pPr>
        <w:ind w:left="10084"/>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REGISTRATION RIGHTS AGREEMENT HAS BEEN OMITTED BY MEANS OF REDACTING A PORTION OF THE TEXT AND REPLACING IT WITH [***], PURSUANT TO REGULATION S-K ITEM 601(B) OF THE SECURITIES ACT OF 1933, AS AMENDED. CERTAIN CONFIDENTIAL INFORMATION HAS BEEN EXCLUDED FROM THE EXHIBIT BECAUSE IT IS: (i) NOT MATERIAL AND (ii) WOULD BE COMPETITIVELY HARMFUL IF PUBLICLY DISCLOSED.</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April 20, 2026, is entered into by and among First Tracks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several investors signatory hereto (individually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together with their respective permitted assigns,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Capitalized terms used herein and not otherwise defined herein shall have the respective meanings set forth in the Securities Purchase Agreement by and among the parties hereto and the Selling Stockholder named therein, dated as of the date hereof (as amended, restated, supplemented or otherwise modified from time to time,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t>A. Upon the terms and subject to the conditions of the Purchase Agreement, the Company has agreed to issue to the Investors, and the Investors have agreed to purchase, severally and not jointly, (i) an aggregate of up to $80,000,000 of shares (the “</w:t>
      </w:r>
      <w:r>
        <w:rPr>
          <w:rFonts w:ascii="Times New Roman" w:cs="Times New Roman" w:eastAsia="Times New Roman" w:hAnsi="Times New Roman"/>
          <w:sz w:val="18"/>
          <w:szCs w:val="18"/>
          <w:b w:val="1"/>
          <w:bCs w:val="1"/>
          <w:color w:val="auto"/>
        </w:rPr>
        <w:t>Primary 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from the Company and (ii) an aggregate of up to $65,000,000 of shares (the “</w:t>
      </w:r>
      <w:r>
        <w:rPr>
          <w:rFonts w:ascii="Times New Roman" w:cs="Times New Roman" w:eastAsia="Times New Roman" w:hAnsi="Times New Roman"/>
          <w:sz w:val="18"/>
          <w:szCs w:val="18"/>
          <w:b w:val="1"/>
          <w:bCs w:val="1"/>
          <w:color w:val="auto"/>
        </w:rPr>
        <w:t>Secondary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the Primary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from the Selling Stockholders, in each case,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Agreement.</w:t>
      </w:r>
    </w:p>
    <w:p>
      <w:pPr>
        <w:spacing w:after="0" w:line="183"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B.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applicable state securities laws.</w:t>
      </w:r>
    </w:p>
    <w:p>
      <w:pPr>
        <w:spacing w:after="0" w:line="172"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the Investors hereby agree as follows:</w:t>
      </w:r>
    </w:p>
    <w:p>
      <w:pPr>
        <w:spacing w:after="0" w:line="26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221" w:lineRule="exact"/>
        <w:rPr>
          <w:sz w:val="20"/>
          <w:szCs w:val="20"/>
          <w:color w:val="auto"/>
        </w:rPr>
      </w:pPr>
    </w:p>
    <w:p>
      <w:pPr>
        <w:ind w:left="4" w:firstLine="987"/>
        <w:spacing w:after="0" w:line="286" w:lineRule="auto"/>
        <w:tabs>
          <w:tab w:leader="none" w:pos="129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4" w:lineRule="exact"/>
        <w:rPr>
          <w:rFonts w:ascii="Times New Roman" w:cs="Times New Roman" w:eastAsia="Times New Roman" w:hAnsi="Times New Roman"/>
          <w:sz w:val="18"/>
          <w:szCs w:val="18"/>
          <w:color w:val="auto"/>
        </w:rPr>
      </w:pPr>
    </w:p>
    <w:p>
      <w:pPr>
        <w:jc w:val="both"/>
        <w:ind w:left="4" w:right="20" w:firstLine="987"/>
        <w:spacing w:after="0" w:line="259" w:lineRule="auto"/>
        <w:tabs>
          <w:tab w:leader="none" w:pos="1277"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w:t>
      </w:r>
    </w:p>
    <w:p>
      <w:pPr>
        <w:ind w:left="4" w:right="20" w:hanging="4"/>
        <w:spacing w:after="0" w:line="260" w:lineRule="auto"/>
        <w:tabs>
          <w:tab w:leader="none" w:pos="27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as defined in Rule 405 under the Securities Act, relating to the terms of the offering of any portion of the Registrable Securities.</w:t>
      </w:r>
    </w:p>
    <w:p>
      <w:pPr>
        <w:spacing w:after="0" w:line="177" w:lineRule="exact"/>
        <w:rPr>
          <w:rFonts w:ascii="Times New Roman" w:cs="Times New Roman" w:eastAsia="Times New Roman" w:hAnsi="Times New Roman"/>
          <w:sz w:val="18"/>
          <w:szCs w:val="18"/>
          <w:color w:val="auto"/>
        </w:rPr>
      </w:pPr>
    </w:p>
    <w:p>
      <w:pPr>
        <w:jc w:val="both"/>
        <w:ind w:left="4" w:right="20" w:firstLine="987"/>
        <w:spacing w:after="0" w:line="268" w:lineRule="auto"/>
        <w:tabs>
          <w:tab w:leader="none" w:pos="128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left="4" w:firstLine="987"/>
        <w:spacing w:after="0" w:line="262" w:lineRule="auto"/>
        <w:tabs>
          <w:tab w:leader="none" w:pos="125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the Shares purchased or sold by each Investor pursuant to the Purchase Agreement and any Common Stock issued or issuable with respect to the Shares as a result of any stock split or subdivision, stock dividend, recapitalization, exchange or similar event. Registrable Securities shall cease to be Registrable Securities upon the date on which the Investors shall have resold all the Registrable Securities covered by the Registration Statement pursuant to Rule 144 or pursuant to the Registration Statement.</w:t>
      </w:r>
    </w:p>
    <w:p>
      <w:pPr>
        <w:sectPr>
          <w:pgSz w:w="11900" w:h="16838" w:orient="portrait"/>
          <w:cols w:equalWidth="0" w:num="1">
            <w:col w:w="11024"/>
          </w:cols>
          <w:pgMar w:left="436" w:top="117" w:right="439" w:bottom="1440" w:gutter="0" w:footer="0" w:header="0"/>
        </w:sectPr>
      </w:pPr>
    </w:p>
    <w:bookmarkStart w:id="150" w:name="page151"/>
    <w:bookmarkEnd w:id="150"/>
    <w:p>
      <w:pPr>
        <w:jc w:val="both"/>
        <w:ind w:left="4" w:firstLine="987"/>
        <w:spacing w:after="0" w:line="256" w:lineRule="auto"/>
        <w:tabs>
          <w:tab w:leader="none" w:pos="124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Inc.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w:t>
      </w:r>
    </w:p>
    <w:p>
      <w:pPr>
        <w:spacing w:after="0" w:line="182" w:lineRule="exact"/>
        <w:rPr>
          <w:rFonts w:ascii="Times New Roman" w:cs="Times New Roman" w:eastAsia="Times New Roman" w:hAnsi="Times New Roman"/>
          <w:sz w:val="18"/>
          <w:szCs w:val="18"/>
          <w:color w:val="auto"/>
        </w:rPr>
      </w:pPr>
    </w:p>
    <w:p>
      <w:pPr>
        <w:jc w:val="both"/>
        <w:ind w:left="4" w:firstLine="987"/>
        <w:spacing w:after="0" w:line="257" w:lineRule="auto"/>
        <w:tabs>
          <w:tab w:leader="none" w:pos="1247"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any New Registration Statement, as amended when each became effective, including all documents filed as part thereof or incorporated by reference therein, and including any information contained in a Prospectus subsequently filed with the SEC.</w:t>
      </w:r>
    </w:p>
    <w:p>
      <w:pPr>
        <w:spacing w:after="0" w:line="182"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Investors</w:t>
      </w:r>
      <w:r>
        <w:rPr>
          <w:rFonts w:ascii="Times New Roman" w:cs="Times New Roman" w:eastAsia="Times New Roman" w:hAnsi="Times New Roman"/>
          <w:sz w:val="18"/>
          <w:szCs w:val="18"/>
          <w:color w:val="auto"/>
        </w:rPr>
        <w:t>” means the Investors holding a majority of the Registrable Securities outstanding from time to time.</w:t>
      </w:r>
    </w:p>
    <w:p>
      <w:pPr>
        <w:spacing w:after="0" w:line="225" w:lineRule="exact"/>
        <w:rPr>
          <w:rFonts w:ascii="Times New Roman" w:cs="Times New Roman" w:eastAsia="Times New Roman" w:hAnsi="Times New Roman"/>
          <w:sz w:val="18"/>
          <w:szCs w:val="18"/>
          <w:color w:val="auto"/>
        </w:rPr>
      </w:pPr>
    </w:p>
    <w:p>
      <w:pPr>
        <w:jc w:val="both"/>
        <w:ind w:left="4" w:firstLine="987"/>
        <w:spacing w:after="0" w:line="268" w:lineRule="auto"/>
        <w:tabs>
          <w:tab w:leader="none" w:pos="126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means all underwriting discounts and selling commissions applicable to the sale of Registrable Securities, any taxes due on the disposition of the Registrable Securities, and all other similar fees and commissions relating to the Investors’ disposition of the Registrable Securities.</w:t>
      </w:r>
    </w:p>
    <w:p>
      <w:pPr>
        <w:spacing w:after="0" w:line="278"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w:t>
      </w:r>
    </w:p>
    <w:p>
      <w:pPr>
        <w:spacing w:after="0" w:line="121" w:lineRule="exact"/>
        <w:rPr>
          <w:rFonts w:ascii="Times New Roman" w:cs="Times New Roman" w:eastAsia="Times New Roman" w:hAnsi="Times New Roman"/>
          <w:sz w:val="18"/>
          <w:szCs w:val="18"/>
          <w:b w:val="1"/>
          <w:bCs w:val="1"/>
          <w:color w:val="auto"/>
        </w:rPr>
      </w:pPr>
    </w:p>
    <w:p>
      <w:pPr>
        <w:jc w:val="both"/>
        <w:ind w:left="4" w:firstLine="987"/>
        <w:spacing w:after="0" w:line="252" w:lineRule="auto"/>
        <w:tabs>
          <w:tab w:leader="none" w:pos="1253"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The Company shall, as promptly as reasonably practicable and in any event no later than 45 days after the Closing Date (the “</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prepare and file or confidentially submit with the SEC an initial Registration Statement (the “</w:t>
      </w:r>
      <w:r>
        <w:rPr>
          <w:rFonts w:ascii="Times New Roman" w:cs="Times New Roman" w:eastAsia="Times New Roman" w:hAnsi="Times New Roman"/>
          <w:sz w:val="18"/>
          <w:szCs w:val="18"/>
          <w:b w:val="1"/>
          <w:bCs w:val="1"/>
          <w:color w:val="auto"/>
        </w:rPr>
        <w:t>Initial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covering the resale of all Registrable Securities. Before filing or submitting the Registration Statement, the Company shall furnish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a copy of the Registration Statement. The Investors and their counsel shall have at least three Business Days prior to the anticipated filing or submission date of a Registration Statement to review and comment upon such Registration Statement and any amendment or supplement to such Registration Statement and any related Prospectus, prior to its filing with or submission to the SEC. Subject to any SEC comments, such Registration Statement shall include the plan of distribution substantially in the form attached hereto as Exhibit A.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w:t>
      </w:r>
    </w:p>
    <w:p>
      <w:pPr>
        <w:spacing w:after="0" w:line="6"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6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address in each such document prior to being so filed with or submitted to the SEC such comments as any Investor or its counsel reasonably propose, and (b) not file or submit any Registration Statement or Prospectus or any amendment or supplement thereto containing information regarding any Investor to which such Investor reasonably objects, unless such information is required to comply with any applicable law or regulation. The Investors shall furnish all information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reasonably requested by the Company and as shall be reasonably required in connection with any registration referred to in this Agreement.</w:t>
      </w:r>
    </w:p>
    <w:p>
      <w:pPr>
        <w:spacing w:after="0" w:line="225" w:lineRule="exact"/>
        <w:rPr>
          <w:sz w:val="20"/>
          <w:szCs w:val="20"/>
          <w:color w:val="auto"/>
        </w:rPr>
      </w:pPr>
    </w:p>
    <w:p>
      <w:pPr>
        <w:jc w:val="both"/>
        <w:ind w:firstLine="987"/>
        <w:spacing w:after="0" w:line="252" w:lineRule="auto"/>
        <w:tabs>
          <w:tab w:leader="none" w:pos="128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The Company shall use its commercially reasonable efforts to have the Initial Registration Statement and any amendment declared effective by the SEC at the earliest possible date but no later than the earlier of the 75th calendar day following the initial filing date of the Initial Registration Statement if the SEC notifies the Company that it will “review” the Initial Registration Statement and (b) the fifth Business Day after the date the Company is notified (orally or in writing, whichever is earlier) by the SEC that the Initial Registration Statement will not be “reviewed” or will not be subject to further review (such earlier date, the “</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The Company shall notify the Investor by e-mail as promptly as practicable, and in any event, within 24 hours, after the Registration Statement is declared effective or is supplemented and shall provide the Investor with copies of any Prospectus to be used in connection with the sale or other disposition of the securities covered thereby. The Company shall use commercially reasonable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cease to hold any Registrable Securities covered thereby;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95"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or confidentially submit a new registration statement (together with any prospectuses or prospectus supplements thereunder, a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so as to cover all of such Registrable Securities as soon as reasonably practicable, but in any event not later than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Days after the necessity therefor arises (the “</w:t>
      </w:r>
      <w:r>
        <w:rPr>
          <w:rFonts w:ascii="Times New Roman" w:cs="Times New Roman" w:eastAsia="Times New Roman" w:hAnsi="Times New Roman"/>
          <w:sz w:val="18"/>
          <w:szCs w:val="18"/>
          <w:b w:val="1"/>
          <w:bCs w:val="1"/>
          <w:color w:val="auto"/>
        </w:rPr>
        <w:t>New Registration Filing Deadline</w:t>
      </w:r>
      <w:r>
        <w:rPr>
          <w:rFonts w:ascii="Times New Roman" w:cs="Times New Roman" w:eastAsia="Times New Roman" w:hAnsi="Times New Roman"/>
          <w:sz w:val="18"/>
          <w:szCs w:val="18"/>
          <w:color w:val="auto"/>
        </w:rPr>
        <w:t>”). The Company shall use its commercially reasonable efforts to have such amendment and/or New Registration Statement become effective as soon as reasonably practicable following the filing thereof but no later than the earlier of the 75th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Effectiveness Deadline</w:t>
      </w:r>
      <w:r>
        <w:rPr>
          <w:rFonts w:ascii="Times New Roman" w:cs="Times New Roman" w:eastAsia="Times New Roman" w:hAnsi="Times New Roman"/>
          <w:sz w:val="18"/>
          <w:szCs w:val="18"/>
          <w:color w:val="auto"/>
        </w:rPr>
        <w: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to the New Registration Statement, except as modified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w:t>
      </w:r>
    </w:p>
    <w:p>
      <w:pPr>
        <w:spacing w:after="0" w:line="19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Allowable Delays.</w:t>
      </w:r>
      <w:r>
        <w:rPr>
          <w:rFonts w:ascii="Times New Roman" w:cs="Times New Roman" w:eastAsia="Times New Roman" w:hAnsi="Times New Roman"/>
          <w:sz w:val="18"/>
          <w:szCs w:val="18"/>
          <w:color w:val="auto"/>
        </w:rPr>
        <w:t xml:space="preserve"> On no more than two occasions in any 12 month period and for not more than 45 consecutive calendar days or for a total of not more than 75 calendar days in any 12 month period, the Company may delay the effectiveness of the Initial Registration Statement or any other Registration Statement, or suspend the use of any Prospectus, in the event that the Company’s Board of Directors determines, in good faith and upon advice of legal counsel, that such delay or suspension is necessary to (A) delay the disclosure of material non-public information concerning the Company, the disclosure of which at the time is not, in the good faith opinion of the Company’s Board of Directors, in the best interests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52" w:name="page153"/>
    <w:bookmarkEnd w:id="152"/>
    <w:p>
      <w:pPr>
        <w:jc w:val="both"/>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8"/>
          <w:szCs w:val="18"/>
          <w:b w:val="1"/>
          <w:bCs w:val="1"/>
          <w:color w:val="auto"/>
        </w:rPr>
        <w:t>Allowed Delay</w:t>
      </w:r>
      <w:r>
        <w:rPr>
          <w:rFonts w:ascii="Times New Roman" w:cs="Times New Roman" w:eastAsia="Times New Roman" w:hAnsi="Times New Roman"/>
          <w:sz w:val="18"/>
          <w:szCs w:val="18"/>
          <w:color w:val="auto"/>
        </w:rPr>
        <w:t>”);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Each Investor may deliver written notice (an “</w:t>
      </w:r>
      <w:r>
        <w:rPr>
          <w:rFonts w:ascii="Times New Roman" w:cs="Times New Roman" w:eastAsia="Times New Roman" w:hAnsi="Times New Roman"/>
          <w:sz w:val="18"/>
          <w:szCs w:val="18"/>
          <w:b w:val="1"/>
          <w:bCs w:val="1"/>
          <w:color w:val="auto"/>
        </w:rPr>
        <w:t>Opt-Out Notice</w:t>
      </w:r>
      <w:r>
        <w:rPr>
          <w:rFonts w:ascii="Times New Roman" w:cs="Times New Roman" w:eastAsia="Times New Roman" w:hAnsi="Times New Roman"/>
          <w:sz w:val="18"/>
          <w:szCs w:val="18"/>
          <w:color w:val="auto"/>
        </w:rPr>
        <w:t>”) to the Company requesting that such Investor not receive notices from the Company otherwise required by this Section 2; provided, however, that such Investor may later revoke any such Opt-Out Notice in writing. Following receipt of an Opt-Out Notice from an Investor (unless subsequently revoked), (a) the Company shall not deliver any notices pursuant to this Section 2(e) to such Investor and such Investor shall no longer be entitled to the rights associated with any such notice and</w:t>
      </w:r>
    </w:p>
    <w:p>
      <w:pPr>
        <w:spacing w:after="0" w:line="5" w:lineRule="exact"/>
        <w:rPr>
          <w:sz w:val="20"/>
          <w:szCs w:val="20"/>
          <w:color w:val="auto"/>
        </w:rPr>
      </w:pPr>
    </w:p>
    <w:p>
      <w:pPr>
        <w:ind w:left="264" w:hanging="264"/>
        <w:spacing w:after="0"/>
        <w:tabs>
          <w:tab w:leader="none" w:pos="26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time prior to such Investor’s intended use of an effective Registration Statement, such Investor will notify the Company in writing at least two</w:t>
      </w:r>
    </w:p>
    <w:p>
      <w:pPr>
        <w:spacing w:after="0" w:line="9" w:lineRule="exact"/>
        <w:rPr>
          <w:rFonts w:ascii="Times New Roman" w:cs="Times New Roman" w:eastAsia="Times New Roman" w:hAnsi="Times New Roman"/>
          <w:sz w:val="18"/>
          <w:szCs w:val="18"/>
          <w:color w:val="auto"/>
        </w:rPr>
      </w:pPr>
    </w:p>
    <w:p>
      <w:pPr>
        <w:jc w:val="both"/>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in advance of such intended use, and if a notice of an Allowed Delay was previously delivered (or would have been delivered but for the provisions of this Section 2(e)) and the related suspension period remains in effect, the Company will so notify such Investor, within one (1) Business Day of such Investor’s notification to the Company, by delivering to such Investor a copy of such previous notice of an Allowed Delay, and thereafter will provide such Investor with the related notice of the conclusion of such Allowed Delay immediately upon the conclusion thereof (which notices shall not contain any material nonpublic information or subject such Investor to any duty of confidentiality).</w:t>
      </w:r>
    </w:p>
    <w:p>
      <w:pPr>
        <w:spacing w:after="0" w:line="186"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23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commercially reasonable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which counsel shall be selected by the Required Investors, to review and oversee any registration or matters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promptly and reasonably objects. In the event that, despite the Company’s commercially reasonable efforts and compliance with the terms of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the SEC refuses to alter its position, the Company shall (i) remove from such Registration Statement such portion of the Registrable Securities (the “</w:t>
      </w:r>
      <w:r>
        <w:rPr>
          <w:rFonts w:ascii="Times New Roman" w:cs="Times New Roman" w:eastAsia="Times New Roman" w:hAnsi="Times New Roman"/>
          <w:sz w:val="18"/>
          <w:szCs w:val="18"/>
          <w:b w:val="1"/>
          <w:bCs w:val="1"/>
          <w:color w:val="auto"/>
        </w:rPr>
        <w:t>Cut Back Shares</w:t>
      </w:r>
      <w:r>
        <w:rPr>
          <w:rFonts w:ascii="Times New Roman" w:cs="Times New Roman" w:eastAsia="Times New Roman" w:hAnsi="Times New Roman"/>
          <w:sz w:val="18"/>
          <w:szCs w:val="18"/>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8"/>
          <w:szCs w:val="18"/>
          <w:b w:val="1"/>
          <w:bCs w:val="1"/>
          <w:color w:val="auto"/>
        </w:rPr>
        <w:t>SEC Restrictions</w:t>
      </w:r>
      <w:r>
        <w:rPr>
          <w:rFonts w:ascii="Times New Roman" w:cs="Times New Roman" w:eastAsia="Times New Roman" w:hAnsi="Times New Roman"/>
          <w:sz w:val="18"/>
          <w:szCs w:val="18"/>
          <w:color w:val="auto"/>
        </w:rPr>
        <w:t xml:space="preserve">”);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w:t>
      </w:r>
    </w:p>
    <w:p>
      <w:pPr>
        <w:spacing w:after="0" w:line="2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3. RELATED COMPANY OBLIGATIONS.</w:t>
      </w:r>
    </w:p>
    <w:p>
      <w:pPr>
        <w:spacing w:after="0" w:line="121" w:lineRule="exact"/>
        <w:rPr>
          <w:sz w:val="20"/>
          <w:szCs w:val="20"/>
          <w:color w:val="auto"/>
        </w:rPr>
      </w:pPr>
    </w:p>
    <w:p>
      <w:pPr>
        <w:jc w:val="both"/>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the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on the Initial Registration Statement or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spacing w:after="0" w:line="180" w:lineRule="exact"/>
        <w:rPr>
          <w:sz w:val="20"/>
          <w:szCs w:val="20"/>
          <w:color w:val="auto"/>
        </w:rPr>
      </w:pPr>
    </w:p>
    <w:p>
      <w:pPr>
        <w:jc w:val="both"/>
        <w:ind w:left="4" w:right="20" w:firstLine="987"/>
        <w:spacing w:after="0" w:line="261" w:lineRule="auto"/>
        <w:tabs>
          <w:tab w:leader="none" w:pos="1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w:t>
      </w:r>
      <w:r>
        <w:rPr>
          <w:rFonts w:ascii="Times New Roman" w:cs="Times New Roman" w:eastAsia="Times New Roman" w:hAnsi="Times New Roman"/>
          <w:sz w:val="18"/>
          <w:szCs w:val="18"/>
          <w:color w:val="auto"/>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153" w:name="page154"/>
    <w:bookmarkEnd w:id="153"/>
    <w:p>
      <w:pPr>
        <w:jc w:val="both"/>
        <w:ind w:firstLine="987"/>
        <w:spacing w:after="0" w:line="258" w:lineRule="auto"/>
        <w:tabs>
          <w:tab w:leader="none" w:pos="12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w:t>
      </w:r>
      <w:r>
        <w:rPr>
          <w:rFonts w:ascii="Times New Roman" w:cs="Times New Roman" w:eastAsia="Times New Roman" w:hAnsi="Times New Roman"/>
          <w:sz w:val="18"/>
          <w:szCs w:val="18"/>
          <w:color w:val="auto"/>
        </w:rPr>
        <w:t xml:space="preserve">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spacing w:after="0" w:line="183" w:lineRule="exact"/>
        <w:rPr>
          <w:rFonts w:ascii="Times New Roman" w:cs="Times New Roman" w:eastAsia="Times New Roman" w:hAnsi="Times New Roman"/>
          <w:sz w:val="18"/>
          <w:szCs w:val="18"/>
          <w:color w:val="auto"/>
        </w:rPr>
      </w:pPr>
    </w:p>
    <w:p>
      <w:pPr>
        <w:jc w:val="both"/>
        <w:ind w:firstLine="987"/>
        <w:spacing w:after="0" w:line="258" w:lineRule="auto"/>
        <w:tabs>
          <w:tab w:leader="none" w:pos="126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Review</w:t>
      </w:r>
      <w:r>
        <w:rPr>
          <w:rFonts w:ascii="Times New Roman" w:cs="Times New Roman" w:eastAsia="Times New Roman" w:hAnsi="Times New Roman"/>
          <w:sz w:val="18"/>
          <w:szCs w:val="18"/>
          <w:color w:val="auto"/>
        </w:rPr>
        <w:t>.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w:t>
      </w:r>
    </w:p>
    <w:p>
      <w:pPr>
        <w:spacing w:after="0" w:line="183"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Available</w:t>
      </w:r>
      <w:r>
        <w:rPr>
          <w:rFonts w:ascii="Times New Roman" w:cs="Times New Roman" w:eastAsia="Times New Roman" w:hAnsi="Times New Roman"/>
          <w:sz w:val="18"/>
          <w:szCs w:val="18"/>
          <w:color w:val="auto"/>
        </w:rPr>
        <w:t>.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Investor may reasonably request in order to facilitate the disposition of the Registrable Securities owned by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the Investor to the extent such document is available on EDGAR.</w:t>
      </w:r>
    </w:p>
    <w:p>
      <w:pPr>
        <w:spacing w:after="0" w:line="194" w:lineRule="exact"/>
        <w:rPr>
          <w:rFonts w:ascii="Times New Roman" w:cs="Times New Roman" w:eastAsia="Times New Roman" w:hAnsi="Times New Roman"/>
          <w:sz w:val="18"/>
          <w:szCs w:val="18"/>
          <w:color w:val="auto"/>
        </w:rPr>
      </w:pPr>
    </w:p>
    <w:p>
      <w:pPr>
        <w:jc w:val="both"/>
        <w:ind w:firstLine="987"/>
        <w:spacing w:after="0" w:line="253" w:lineRule="auto"/>
        <w:tabs>
          <w:tab w:leader="none" w:pos="123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Stop Orders; Material Changes</w:t>
      </w:r>
      <w:r>
        <w:rPr>
          <w:rFonts w:ascii="Times New Roman" w:cs="Times New Roman" w:eastAsia="Times New Roman" w:hAnsi="Times New Roman"/>
          <w:sz w:val="18"/>
          <w:szCs w:val="18"/>
          <w:color w:val="auto"/>
        </w:rPr>
        <w:t>. The Company shall use commercially reasonable efforts to (i) prevent the issuance of any stop order or other suspension of effectiveness of the Registration Statement and, (ii) if such order is issued, obtain the withdrawal of any such order as soon as practicable. The Company shall advise the Investors promptly (but in no event later than 24 hours) and shall confirm such advice in writing, in each case: (A) of the Company’s receipt of notice of any request by the SEC or any other federal or state governmental authority for amendment of or a supplement to the Registration Statement or any Prospectus or for any additional information; (B)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(C) of the Company becoming aware of the happening of any event, which makes any statement of a material fact made in any Registration Statement or any Prospectus untrue or which requires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54" w:name="page155"/>
    <w:bookmarkEnd w:id="154"/>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 (A) to (C) of the immediately preceding sentence (each, a “</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commercially reasonable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(C) of the second sentence of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w:t>
      </w:r>
    </w:p>
    <w:p>
      <w:pPr>
        <w:spacing w:after="0" w:line="195" w:lineRule="exact"/>
        <w:rPr>
          <w:sz w:val="20"/>
          <w:szCs w:val="20"/>
          <w:color w:val="auto"/>
        </w:rPr>
      </w:pPr>
    </w:p>
    <w:p>
      <w:pPr>
        <w:jc w:val="both"/>
        <w:ind w:right="20" w:firstLine="987"/>
        <w:spacing w:after="0" w:line="261" w:lineRule="auto"/>
        <w:tabs>
          <w:tab w:leader="none" w:pos="124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Effectiveness</w:t>
      </w:r>
      <w:r>
        <w:rPr>
          <w:rFonts w:ascii="Times New Roman" w:cs="Times New Roman" w:eastAsia="Times New Roman" w:hAnsi="Times New Roman"/>
          <w:sz w:val="18"/>
          <w:szCs w:val="18"/>
          <w:color w:val="auto"/>
        </w:rPr>
        <w:t>.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79"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best efforts to cause all Registrable Securities covered by a Registration Statement to be listed on the Nasdaq Stock Market LLC.</w:t>
      </w:r>
    </w:p>
    <w:p>
      <w:pPr>
        <w:spacing w:after="0" w:line="161" w:lineRule="exact"/>
        <w:rPr>
          <w:rFonts w:ascii="Times New Roman" w:cs="Times New Roman" w:eastAsia="Times New Roman" w:hAnsi="Times New Roman"/>
          <w:sz w:val="18"/>
          <w:szCs w:val="18"/>
          <w:color w:val="auto"/>
        </w:rPr>
      </w:pPr>
    </w:p>
    <w:p>
      <w:pPr>
        <w:jc w:val="both"/>
        <w:ind w:firstLine="987"/>
        <w:spacing w:after="0" w:line="246" w:lineRule="auto"/>
        <w:tabs>
          <w:tab w:leader="none" w:pos="12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The Company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8"/>
          <w:szCs w:val="18"/>
          <w:u w:val="single" w:color="auto"/>
          <w:color w:val="auto"/>
        </w:rPr>
        <w:t>subsection 3(h)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18"/>
          <w:szCs w:val="18"/>
          <w:b w:val="1"/>
          <w:bCs w:val="1"/>
          <w:color w:val="auto"/>
        </w:rPr>
        <w:t>Availability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means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after the end of such fourth fiscal quarter).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55" w:name="page156"/>
    <w:bookmarkEnd w:id="155"/>
    <w:p>
      <w:pPr>
        <w:jc w:val="both"/>
        <w:ind w:left="4" w:firstLine="987"/>
        <w:spacing w:after="0" w:line="258" w:lineRule="auto"/>
        <w:tabs>
          <w:tab w:leader="none" w:pos="1210"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Blue-Sky</w:t>
      </w:r>
      <w:r>
        <w:rPr>
          <w:rFonts w:ascii="Times New Roman" w:cs="Times New Roman" w:eastAsia="Times New Roman" w:hAnsi="Times New Roman"/>
          <w:sz w:val="18"/>
          <w:szCs w:val="18"/>
          <w:color w:val="auto"/>
        </w:rPr>
        <w:t xml:space="preserve">. The Company shall register or qualify or cooperate with the Investors and their counsel in connection with the registration or qualification of such Registrable Securities for the offer and sale under the securities or blue sky laws of such jurisdictions reasonably requested by the Investors; provided, however,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(ii) subject itself to general taxation in any jurisdiction where it would not otherwise be so subject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or (iii) file a general consent to service of process in any such jurisdiction.</w:t>
      </w:r>
    </w:p>
    <w:p>
      <w:pPr>
        <w:spacing w:after="0" w:line="183" w:lineRule="exact"/>
        <w:rPr>
          <w:rFonts w:ascii="Times New Roman" w:cs="Times New Roman" w:eastAsia="Times New Roman" w:hAnsi="Times New Roman"/>
          <w:sz w:val="18"/>
          <w:szCs w:val="18"/>
          <w:color w:val="auto"/>
        </w:rPr>
      </w:pPr>
    </w:p>
    <w:p>
      <w:pPr>
        <w:jc w:val="both"/>
        <w:ind w:left="4" w:right="20" w:firstLine="987"/>
        <w:spacing w:after="0" w:line="253" w:lineRule="auto"/>
        <w:tabs>
          <w:tab w:leader="none" w:pos="1224" w:val="left"/>
        </w:tabs>
        <w:numPr>
          <w:ilvl w:val="2"/>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w:t>
      </w:r>
    </w:p>
    <w:p>
      <w:pPr>
        <w:ind w:left="4" w:right="20" w:hanging="4"/>
        <w:spacing w:after="0" w:line="260" w:lineRule="auto"/>
        <w:tabs>
          <w:tab w:leader="none" w:pos="29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may be reasonably requested in order to avail such Investor of any rule or regulation of the SEC that permits the selling of any such Registrable Securities without registration.</w:t>
      </w:r>
    </w:p>
    <w:p>
      <w:pPr>
        <w:spacing w:after="0" w:line="181" w:lineRule="exact"/>
        <w:rPr>
          <w:rFonts w:ascii="Times New Roman" w:cs="Times New Roman" w:eastAsia="Times New Roman" w:hAnsi="Times New Roman"/>
          <w:sz w:val="18"/>
          <w:szCs w:val="18"/>
          <w:color w:val="auto"/>
        </w:rPr>
      </w:pPr>
    </w:p>
    <w:p>
      <w:pPr>
        <w:jc w:val="both"/>
        <w:ind w:left="4" w:right="20" w:firstLine="987"/>
        <w:spacing w:after="0" w:line="256" w:lineRule="auto"/>
        <w:tabs>
          <w:tab w:leader="none" w:pos="1277"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for the avoidance of doubt, the Company may satisfy its obligations hereunder without issuing physical stock certificates through the use of The Depository Trust Company’s Direct Registration System.</w:t>
      </w:r>
    </w:p>
    <w:p>
      <w:pPr>
        <w:spacing w:after="0" w:line="29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INVESTORS.</w:t>
      </w:r>
    </w:p>
    <w:p>
      <w:pPr>
        <w:spacing w:after="0" w:line="121" w:lineRule="exact"/>
        <w:rPr>
          <w:rFonts w:ascii="Times New Roman" w:cs="Times New Roman" w:eastAsia="Times New Roman" w:hAnsi="Times New Roman"/>
          <w:sz w:val="18"/>
          <w:szCs w:val="18"/>
          <w:b w:val="1"/>
          <w:bCs w:val="1"/>
          <w:color w:val="auto"/>
        </w:rPr>
      </w:pPr>
    </w:p>
    <w:p>
      <w:pPr>
        <w:jc w:val="both"/>
        <w:ind w:left="4" w:right="20" w:firstLine="987"/>
        <w:spacing w:after="0" w:line="258" w:lineRule="auto"/>
        <w:tabs>
          <w:tab w:leader="none" w:pos="124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xml:space="preserve">. Each Investor shall provide a completed Investor Questionnaire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information as reasonably requested by the Company and required in connection with the registration of the Registrable Securities (such questionnaire or other information provided, the “</w:t>
      </w:r>
      <w:r>
        <w:rPr>
          <w:rFonts w:ascii="Times New Roman" w:cs="Times New Roman" w:eastAsia="Times New Roman" w:hAnsi="Times New Roman"/>
          <w:sz w:val="18"/>
          <w:szCs w:val="18"/>
          <w:b w:val="1"/>
          <w:bCs w:val="1"/>
          <w:color w:val="auto"/>
        </w:rPr>
        <w:t>Questionnaire</w:t>
      </w:r>
      <w:r>
        <w:rPr>
          <w:rFonts w:ascii="Times New Roman" w:cs="Times New Roman" w:eastAsia="Times New Roman" w:hAnsi="Times New Roman"/>
          <w:sz w:val="18"/>
          <w:szCs w:val="18"/>
          <w:color w:val="auto"/>
        </w:rPr>
        <w:t>”). If the Company has not received such completed Questionnaire from an Investor within three Business Days of the Company’s request, the Company may file the Registration Statement without including such Investor’s Registrable Securities.</w:t>
      </w:r>
    </w:p>
    <w:p>
      <w:pPr>
        <w:spacing w:after="0" w:line="183" w:lineRule="exact"/>
        <w:rPr>
          <w:rFonts w:ascii="Times New Roman" w:cs="Times New Roman" w:eastAsia="Times New Roman" w:hAnsi="Times New Roman"/>
          <w:sz w:val="18"/>
          <w:szCs w:val="18"/>
          <w:color w:val="auto"/>
        </w:rPr>
      </w:pPr>
    </w:p>
    <w:p>
      <w:pPr>
        <w:jc w:val="both"/>
        <w:ind w:left="4" w:firstLine="987"/>
        <w:spacing w:after="0" w:line="255" w:lineRule="auto"/>
        <w:tabs>
          <w:tab w:leader="none" w:pos="125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Each Investor, severally and not jointly with any other Investor, agrees that, upon receipt of any notice from the Company of the existence of an Allowed Delay or a Suspension Event as set forth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156" w:name="page157"/>
    <w:bookmarkEnd w:id="156"/>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into prior to such Investor’s receipt of the notice from the Company of the existence of the Allowed Delay or Suspension Event. Notwithstanding anything to the contrary, the Company shall cause its transfer agent to deliver unlegended securities to a transferee of an Investor in connection with any sale of Registrable Securities with respect to which the Investor has entered into a contract for sale, prior to such Investor’s receipt of the notice of an Allowed Delay and for which such Investor has not yet settled.</w:t>
      </w:r>
    </w:p>
    <w:p>
      <w:pPr>
        <w:spacing w:after="0" w:line="180" w:lineRule="exact"/>
        <w:rPr>
          <w:sz w:val="20"/>
          <w:szCs w:val="20"/>
          <w:color w:val="auto"/>
        </w:rPr>
      </w:pPr>
    </w:p>
    <w:p>
      <w:pPr>
        <w:jc w:val="both"/>
        <w:ind w:right="20" w:firstLine="987"/>
        <w:spacing w:after="0" w:line="266" w:lineRule="auto"/>
        <w:tabs>
          <w:tab w:leader="none" w:pos="123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its transfer agent to deliver unlegended shares of Common Stock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7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Cooperation</w:t>
      </w:r>
      <w:r>
        <w:rPr>
          <w:rFonts w:ascii="Times New Roman" w:cs="Times New Roman" w:eastAsia="Times New Roman" w:hAnsi="Times New Roman"/>
          <w:sz w:val="18"/>
          <w:szCs w:val="18"/>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spacing w:after="0" w:line="2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REGISTRATION.</w:t>
      </w:r>
    </w:p>
    <w:p>
      <w:pPr>
        <w:spacing w:after="0" w:line="121"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w:t>
      </w:r>
    </w:p>
    <w:p>
      <w:pPr>
        <w:spacing w:after="0" w:line="280" w:lineRule="exact"/>
        <w:rPr>
          <w:sz w:val="20"/>
          <w:szCs w:val="20"/>
          <w:color w:val="auto"/>
        </w:rPr>
      </w:pPr>
    </w:p>
    <w:p>
      <w:pPr>
        <w:ind w:left="620" w:hanging="184"/>
        <w:spacing w:after="0"/>
        <w:tabs>
          <w:tab w:leader="none" w:pos="62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121" w:lineRule="exact"/>
        <w:rPr>
          <w:rFonts w:ascii="Times New Roman" w:cs="Times New Roman" w:eastAsia="Times New Roman" w:hAnsi="Times New Roman"/>
          <w:sz w:val="18"/>
          <w:szCs w:val="18"/>
          <w:b w:val="1"/>
          <w:bCs w:val="1"/>
          <w:color w:val="auto"/>
        </w:rPr>
      </w:pPr>
    </w:p>
    <w:p>
      <w:pPr>
        <w:jc w:val="both"/>
        <w:ind w:firstLine="987"/>
        <w:spacing w:after="0" w:line="251" w:lineRule="auto"/>
        <w:tabs>
          <w:tab w:leader="none" w:pos="125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will, and hereby does, indemnify, hold harmless and defend each Investor, each Person, if any, who controls such Investor, the members, the directors, officers, partners, employees, members, managers, agents, representatives and advisors of such Investor and each Person, if any, who controls such Investor within the meaning of the Securities Act or the Exchange Act (each, an “</w:t>
      </w:r>
      <w:r>
        <w:rPr>
          <w:rFonts w:ascii="Times New Roman" w:cs="Times New Roman" w:eastAsia="Times New Roman" w:hAnsi="Times New Roman"/>
          <w:sz w:val="18"/>
          <w:szCs w:val="18"/>
          <w:b w:val="1"/>
          <w:bCs w:val="1"/>
          <w:color w:val="auto"/>
        </w:rPr>
        <w:t>Investor Indemnified Person</w:t>
      </w:r>
      <w:r>
        <w:rPr>
          <w:rFonts w:ascii="Times New Roman" w:cs="Times New Roman" w:eastAsia="Times New Roman" w:hAnsi="Times New Roman"/>
          <w:sz w:val="18"/>
          <w:szCs w:val="18"/>
          <w:color w:val="auto"/>
        </w:rPr>
        <w:t>”), against any losses, obligation, claims, damages, liabilities, contingencies, judgments, fines, penalties, charges, costs (including, without limitation, court costs and costs of preparation), reasonable and documented attorneys’ fees, amounts paid in settlement and reasonable and documented expenses,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8"/>
          <w:szCs w:val="18"/>
          <w:b w:val="1"/>
          <w:bCs w:val="1"/>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8"/>
          <w:szCs w:val="18"/>
          <w:b w:val="1"/>
          <w:bCs w:val="1"/>
          <w:color w:val="auto"/>
        </w:rPr>
        <w:t>Violations</w:t>
      </w:r>
      <w:r>
        <w:rPr>
          <w:rFonts w:ascii="Times New Roman" w:cs="Times New Roman" w:eastAsia="Times New Roman" w:hAnsi="Times New Roman"/>
          <w:sz w:val="18"/>
          <w:szCs w:val="18"/>
          <w:color w:val="auto"/>
        </w:rPr>
        <w:t xml:space="preserve">”).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(A) shall not apply to a Claim by an Investor Indemnified Person arising out of or based upon a Violation which occurs in reliance upon and in conformity with information furnished in writing to the Company by the Investors or such Investor Indemnified Person specifically for use in such Registration Statement or prospectus and was reviewed and approved in writing by such Investor or such Investor Indemnified Person expressly for use in connection with the preparation of any Registration Statement, any prospectus or any such amendment thereof or supplement thereto, if such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Investor Indemnified Person) if the untrue statement or omission of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57" w:name="page158"/>
    <w:bookmarkEnd w:id="157"/>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fact contained in the superseded prospectus was corrected in the revised prospectus, as then amended or supplemented, and the Investor Indemnified Person was promptly advised in writing not to use the outdated, defective or incorrect prospectus prior to the use giving rise to a Violation;</w:t>
      </w:r>
    </w:p>
    <w:p>
      <w:pPr>
        <w:jc w:val="both"/>
        <w:ind w:left="4" w:right="20" w:hanging="4"/>
        <w:spacing w:after="0" w:line="255" w:lineRule="auto"/>
        <w:tabs>
          <w:tab w:leader="none" w:pos="30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apply to amounts paid in settlement of any Claim if such settlement is effected without the prior written consent of the Company. Such indemnity shall remain in full force and effect regardless of any investigation made by or on behalf of the Investor Indemnified Person and shall survive the transfer of the Registrable Securities by the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26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Initial Registration Statement, any New Registration Statement or any prospectus, the Investors, severally and not jointly, agree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 “</w:t>
      </w:r>
      <w:r>
        <w:rPr>
          <w:rFonts w:ascii="Times New Roman" w:cs="Times New Roman" w:eastAsia="Times New Roman" w:hAnsi="Times New Roman"/>
          <w:sz w:val="18"/>
          <w:szCs w:val="18"/>
          <w:b w:val="1"/>
          <w:bCs w:val="1"/>
          <w:color w:val="auto"/>
        </w:rPr>
        <w:t>Company Indemnified Party</w:t>
      </w:r>
      <w:r>
        <w:rPr>
          <w:rFonts w:ascii="Times New Roman" w:cs="Times New Roman" w:eastAsia="Times New Roman" w:hAnsi="Times New Roman"/>
          <w:sz w:val="18"/>
          <w:szCs w:val="18"/>
          <w:color w:val="auto"/>
        </w:rPr>
        <w:t xml:space="preserve">”), against any losses, claims, damages, liabilities and expense (including reasonable attorney fees) resulting from any untrue statement or alleged untrue statement or omission or alleged omission of any material fact contained in any Registration Statement, any preliminary Prospectus or final Prospectus, or any amendment or supplement thereto, in each case to the extent, and only to the extent, that such untrue statement or alleged untrue statement or omission or alleged omission of any material fact contained in any Registration Statement, any preliminary Prospectus or final Prospectus, or any amendment or supplement thereto was made in reliance upon and in conformity with information about an Investor furnished in writing by such Investor to the Company for use in such Registration Statement and reviewed and approved in writing by such Investor or such Investor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net proceeds received by such Investor upon the sale of the Registrable Securities included in such Registration Statement giving rise to such indemnification obligation. Such indemnity shall remain in full force and effect regardless of any investigation made by or on behalf of such Company Indemnified Party and shall survive the transfer of the Registrable Securities by any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27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Investor Indemnified Person or a Company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Investor Indemnified Person or Company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Investor Indemnified Person or the Company Indemnified Party, as the case may be, and upon such notice, the indemnifying party shall not be liable to the Investor Indemnified Person or the Company Indemnified Party for any legal or other expenses subsequently incurred by the Investor Indemnified Person or the Company Indemnified Party in connection with the defense thereof; provided, however, that an Investor Indemnified Person or Company Indemnified Party (together with all other Investor Indemnified Persons and Indemnified Parties that may be represented without conflict by one counsel) shall have the right to retain its own counsel with the reasonable and documented fees and expenses to be paid by the indemnifying party, if, in the reasonable opinion of counsel retained by the indemnifying party, the representation by such counsel of the Investor Indemnified Person or Company Indemnified Party and the indemnifying party would be inappropriate due to actual or potential differing interests between such Investor Indemnified Person or Company Indemnified Party and any other party represented by such counsel in such proceeding.</w:t>
      </w:r>
    </w:p>
    <w:p>
      <w:pPr>
        <w:spacing w:after="0" w:line="197"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63"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Indemnified Party or Investor Indemnified Person shall cooperate with the indemnifying party in connection with any negotiation or defense of any such action or claim by the indemnifying party and shall furnish to the indemnifying party all information reasonably available to the Company Indemnified Party or Investor Indemnified Person which relates to such action or claim.</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158" w:name="page159"/>
    <w:bookmarkEnd w:id="158"/>
    <w:p>
      <w:pPr>
        <w:jc w:val="both"/>
        <w:ind w:left="4" w:firstLine="987"/>
        <w:spacing w:after="0" w:line="253" w:lineRule="auto"/>
        <w:tabs>
          <w:tab w:leader="none" w:pos="124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indemnifying party shall keep the Company Indemnified Party or Investor Indemnified Person fully apprised as to the status of the defense or any settlement negotiations with respect thereto. No indemnifying party shall be liable for any settlement of any action, claim or proceeding effected without its written consent. No indemnifying party shall, without the consent of the Company Indemnified Party or Investor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Company Indemnified Party or Investor Indemnified Person in respect to or arising out of such claim or litigation in favor of, and (iii) does not include any admission of fault, culpability, wrongdoing, or wrongdoing or malfeasance by or on behalf of, the Company Indemnified Party or Investor Indemnified Person. Following indemnification as provided for hereunder, the indemnifying party shall be subrogated to all rights of the Company Indemnified Party or Investor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Investor Indemnified Person or Company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189"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person is later determined to not be entitled to such payment shall return such payment (including reimbursement of expenses) to the person making it.</w:t>
      </w:r>
    </w:p>
    <w:p>
      <w:pPr>
        <w:spacing w:after="0" w:line="179"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Company Indemnified Party or Investor Indemnified Person against the indemnifying party or others, and (ii) any liabilities the indemnifying party may be subject to pursuant to the law.</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7. CONTRIBUTION.</w:t>
      </w:r>
    </w:p>
    <w:p>
      <w:pPr>
        <w:spacing w:after="0" w:line="121" w:lineRule="exact"/>
        <w:rPr>
          <w:sz w:val="20"/>
          <w:szCs w:val="20"/>
          <w:color w:val="auto"/>
        </w:rPr>
      </w:pPr>
    </w:p>
    <w:p>
      <w:pPr>
        <w:jc w:val="both"/>
        <w:ind w:left="4" w:firstLine="991"/>
        <w:spacing w:after="0" w:line="255" w:lineRule="auto"/>
        <w:rPr>
          <w:sz w:val="20"/>
          <w:szCs w:val="20"/>
          <w:color w:val="auto"/>
        </w:rPr>
      </w:pPr>
      <w:r>
        <w:rPr>
          <w:rFonts w:ascii="Times New Roman" w:cs="Times New Roman" w:eastAsia="Times New Roman" w:hAnsi="Times New Roman"/>
          <w:sz w:val="18"/>
          <w:szCs w:val="18"/>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w:t>
      </w:r>
    </w:p>
    <w:p>
      <w:pPr>
        <w:spacing w:after="0" w:line="3" w:lineRule="exact"/>
        <w:rPr>
          <w:sz w:val="20"/>
          <w:szCs w:val="20"/>
          <w:color w:val="auto"/>
        </w:rPr>
      </w:pPr>
    </w:p>
    <w:p>
      <w:pPr>
        <w:ind w:left="4" w:hanging="4"/>
        <w:spacing w:after="0" w:line="260" w:lineRule="auto"/>
        <w:tabs>
          <w:tab w:leader="none" w:pos="27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by any seller of Registrable Securities shall be limited in amount to the net amount of proceeds received by such seller from the sale of such Registrable Securities giving rise to such contribution obligation.</w:t>
      </w:r>
    </w:p>
    <w:p>
      <w:pPr>
        <w:spacing w:after="0" w:line="2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8. ASSIGNMENT OF REGISTRATION RIGHTS.</w:t>
      </w:r>
    </w:p>
    <w:p>
      <w:pPr>
        <w:spacing w:after="0" w:line="121" w:lineRule="exact"/>
        <w:rPr>
          <w:sz w:val="20"/>
          <w:szCs w:val="20"/>
          <w:color w:val="auto"/>
        </w:rPr>
      </w:pPr>
    </w:p>
    <w:p>
      <w:pPr>
        <w:jc w:val="both"/>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Required Investors shall not be required for such transaction.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59" w:name="page160"/>
    <w:bookmarkEnd w:id="159"/>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in connection with an assignment to an Affiliate of an Investor, no Investor shall have the right to assign all or part of its or his rights and obligations under this Agreement to any Person without the written consent of the Company (not to be unreasonably withheld or delayed) and unless such Person agrees in writing to be bound by all of the provisions contained herein.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provisions of this Agreement shall be binding upon and inure to the benefit of the Investor and its successors and permitted assigns.</w:t>
      </w:r>
    </w:p>
    <w:p>
      <w:pPr>
        <w:spacing w:after="0" w:line="329" w:lineRule="exact"/>
        <w:rPr>
          <w:sz w:val="20"/>
          <w:szCs w:val="20"/>
          <w:color w:val="auto"/>
        </w:rPr>
      </w:pPr>
    </w:p>
    <w:p>
      <w:pPr>
        <w:ind w:left="624" w:hanging="184"/>
        <w:spacing w:after="0"/>
        <w:tabs>
          <w:tab w:leader="none" w:pos="624" w:val="left"/>
        </w:tabs>
        <w:numPr>
          <w:ilvl w:val="1"/>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 TERMINATION.</w:t>
      </w:r>
    </w:p>
    <w:p>
      <w:pPr>
        <w:spacing w:after="0" w:line="121" w:lineRule="exact"/>
        <w:rPr>
          <w:rFonts w:ascii="Times New Roman" w:cs="Times New Roman" w:eastAsia="Times New Roman" w:hAnsi="Times New Roman"/>
          <w:sz w:val="18"/>
          <w:szCs w:val="18"/>
          <w:b w:val="1"/>
          <w:bCs w:val="1"/>
          <w:color w:val="auto"/>
        </w:rPr>
      </w:pPr>
    </w:p>
    <w:p>
      <w:pPr>
        <w:jc w:val="both"/>
        <w:ind w:left="4" w:right="20" w:firstLine="987"/>
        <w:spacing w:after="0" w:line="261" w:lineRule="auto"/>
        <w:tabs>
          <w:tab w:leader="none" w:pos="1254"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including the provisions of this sentence, may be amended, modified or supplemented, or waived only by a written instrument executed by (i) the Company and (ii) the Required Investors, provided that (1) any party may give a waiver as to itself,</w:t>
      </w:r>
    </w:p>
    <w:p>
      <w:pPr>
        <w:jc w:val="both"/>
        <w:ind w:left="4" w:hanging="4"/>
        <w:spacing w:after="0" w:line="252" w:lineRule="auto"/>
        <w:tabs>
          <w:tab w:leader="none" w:pos="26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(3) any amendments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w:t>
      </w:r>
    </w:p>
    <w:p>
      <w:pPr>
        <w:spacing w:after="0" w:line="189"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62"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Company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in each case solely with respect to such Investor, will terminate upon the earlier of:</w:t>
      </w:r>
    </w:p>
    <w:p>
      <w:pPr>
        <w:spacing w:after="0" w:line="53" w:lineRule="exact"/>
        <w:rPr>
          <w:rFonts w:ascii="Times New Roman" w:cs="Times New Roman" w:eastAsia="Times New Roman" w:hAnsi="Times New Roman"/>
          <w:sz w:val="18"/>
          <w:szCs w:val="18"/>
          <w:color w:val="auto"/>
        </w:rPr>
      </w:pPr>
    </w:p>
    <w:p>
      <w:pPr>
        <w:ind w:left="444" w:right="20" w:firstLine="948"/>
        <w:spacing w:after="0" w:line="282" w:lineRule="auto"/>
        <w:tabs>
          <w:tab w:leader="none" w:pos="1548" w:val="left"/>
        </w:tabs>
        <w:numPr>
          <w:ilvl w:val="3"/>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a Registration Statement with respect to the sale of such Investor’s Registrable Securities shall have been declared effective under the Securities Act and such securities shall have been disposed of in accordance with such Registration Statement;</w:t>
      </w:r>
    </w:p>
    <w:p>
      <w:pPr>
        <w:spacing w:after="0" w:line="53" w:lineRule="exact"/>
        <w:rPr>
          <w:rFonts w:ascii="Times New Roman" w:cs="Times New Roman" w:eastAsia="Times New Roman" w:hAnsi="Times New Roman"/>
          <w:sz w:val="18"/>
          <w:szCs w:val="18"/>
          <w:color w:val="auto"/>
        </w:rPr>
      </w:pPr>
    </w:p>
    <w:p>
      <w:pPr>
        <w:ind w:left="1584" w:hanging="192"/>
        <w:spacing w:after="0"/>
        <w:tabs>
          <w:tab w:leader="none" w:pos="1584" w:val="left"/>
        </w:tabs>
        <w:numPr>
          <w:ilvl w:val="3"/>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such Investor’s Registrable Securities have been disposed of in compliance with the requirements of Rule</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w:t>
      </w:r>
    </w:p>
    <w:p>
      <w:pPr>
        <w:spacing w:after="0" w:line="98" w:lineRule="exact"/>
        <w:rPr>
          <w:rFonts w:ascii="Times New Roman" w:cs="Times New Roman" w:eastAsia="Times New Roman" w:hAnsi="Times New Roman"/>
          <w:sz w:val="18"/>
          <w:szCs w:val="18"/>
          <w:color w:val="auto"/>
        </w:rPr>
      </w:pPr>
    </w:p>
    <w:p>
      <w:pPr>
        <w:ind w:left="1624" w:hanging="232"/>
        <w:spacing w:after="0"/>
        <w:tabs>
          <w:tab w:leader="none" w:pos="1624" w:val="left"/>
        </w:tabs>
        <w:numPr>
          <w:ilvl w:val="3"/>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such Investor’s Registrable Securities have been sold in a public offering of securities;</w:t>
      </w:r>
    </w:p>
    <w:p>
      <w:pPr>
        <w:spacing w:after="0" w:line="117" w:lineRule="exact"/>
        <w:rPr>
          <w:rFonts w:ascii="Times New Roman" w:cs="Times New Roman" w:eastAsia="Times New Roman" w:hAnsi="Times New Roman"/>
          <w:sz w:val="18"/>
          <w:szCs w:val="18"/>
          <w:color w:val="auto"/>
        </w:rPr>
      </w:pPr>
    </w:p>
    <w:p>
      <w:pPr>
        <w:jc w:val="both"/>
        <w:ind w:left="444" w:firstLine="948"/>
        <w:spacing w:after="0" w:line="266" w:lineRule="auto"/>
        <w:tabs>
          <w:tab w:leader="none" w:pos="1619" w:val="left"/>
        </w:tabs>
        <w:numPr>
          <w:ilvl w:val="3"/>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such the Investor is eligible to sell its Registrable Securities pursuant to Rule 144 (without limitation as to volume or manner of sale and without the requirement for the Company to be in compliance with the current public information requirement under Rule 144 under the Securities Act or any other rule of similar effect);</w:t>
      </w:r>
    </w:p>
    <w:p>
      <w:pPr>
        <w:spacing w:after="0" w:line="67" w:lineRule="exact"/>
        <w:rPr>
          <w:rFonts w:ascii="Times New Roman" w:cs="Times New Roman" w:eastAsia="Times New Roman" w:hAnsi="Times New Roman"/>
          <w:sz w:val="18"/>
          <w:szCs w:val="18"/>
          <w:color w:val="auto"/>
        </w:rPr>
      </w:pPr>
    </w:p>
    <w:p>
      <w:pPr>
        <w:ind w:left="1564" w:hanging="172"/>
        <w:spacing w:after="0"/>
        <w:tabs>
          <w:tab w:leader="none" w:pos="1564" w:val="left"/>
        </w:tabs>
        <w:numPr>
          <w:ilvl w:val="3"/>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such Investor’s Registrable Securities have ceased to be outstanding; or</w:t>
      </w:r>
    </w:p>
    <w:p>
      <w:pPr>
        <w:spacing w:after="0" w:line="117" w:lineRule="exact"/>
        <w:rPr>
          <w:rFonts w:ascii="Times New Roman" w:cs="Times New Roman" w:eastAsia="Times New Roman" w:hAnsi="Times New Roman"/>
          <w:sz w:val="18"/>
          <w:szCs w:val="18"/>
          <w:color w:val="auto"/>
        </w:rPr>
      </w:pPr>
    </w:p>
    <w:p>
      <w:pPr>
        <w:jc w:val="both"/>
        <w:ind w:left="444" w:right="20" w:firstLine="948"/>
        <w:spacing w:after="0" w:line="266" w:lineRule="auto"/>
        <w:tabs>
          <w:tab w:leader="none" w:pos="1636" w:val="left"/>
        </w:tabs>
        <w:numPr>
          <w:ilvl w:val="3"/>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following the first anniversary of the date the Initial Registration Statement becomes effective under the Securities Act on which such Investor is not, and has not for the preceding three months been, an “affiliate” (as defined in Rule 144 under the Securities Act) of the Company.</w:t>
      </w:r>
    </w:p>
    <w:p>
      <w:pPr>
        <w:spacing w:after="0" w:line="2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160" w:name="page161"/>
    <w:bookmarkEnd w:id="160"/>
    <w:p>
      <w:pPr>
        <w:jc w:val="both"/>
        <w:ind w:left="4" w:right="20" w:firstLine="987"/>
        <w:spacing w:after="0" w:line="255" w:lineRule="auto"/>
        <w:tabs>
          <w:tab w:leader="none" w:pos="12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(in each case, without receipt of an undeliverable or similar notice), (c) three days after having been sent by certified or registered mail, return-receipt requested and postage prepaid, or</w:t>
      </w:r>
    </w:p>
    <w:p>
      <w:pPr>
        <w:spacing w:after="0" w:line="2" w:lineRule="exact"/>
        <w:rPr>
          <w:rFonts w:ascii="Times New Roman" w:cs="Times New Roman" w:eastAsia="Times New Roman" w:hAnsi="Times New Roman"/>
          <w:sz w:val="18"/>
          <w:szCs w:val="18"/>
          <w:color w:val="auto"/>
        </w:rPr>
      </w:pPr>
    </w:p>
    <w:p>
      <w:pPr>
        <w:ind w:left="4" w:right="20" w:hanging="4"/>
        <w:spacing w:after="0" w:line="260" w:lineRule="auto"/>
        <w:tabs>
          <w:tab w:leader="none" w:pos="26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Business Day after deposit with a nationally recognized overnight courier, freight prepaid, specifying next Business Day delivery, with written verification of receipt:</w:t>
      </w:r>
    </w:p>
    <w:p>
      <w:pPr>
        <w:spacing w:after="0" w:line="73" w:lineRule="exact"/>
        <w:rPr>
          <w:rFonts w:ascii="Times New Roman" w:cs="Times New Roman" w:eastAsia="Times New Roman" w:hAnsi="Times New Roman"/>
          <w:sz w:val="18"/>
          <w:szCs w:val="18"/>
          <w:color w:val="auto"/>
        </w:rPr>
      </w:pPr>
    </w:p>
    <w:p>
      <w:pPr>
        <w:ind w:left="1524" w:hanging="132"/>
        <w:spacing w:after="0"/>
        <w:tabs>
          <w:tab w:leader="none" w:pos="1524" w:val="left"/>
        </w:tabs>
        <w:numPr>
          <w:ilvl w:val="2"/>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addressed as follows:</w:t>
      </w:r>
    </w:p>
    <w:p>
      <w:pPr>
        <w:spacing w:after="0" w:line="117"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7"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10770 Wateridge Circle, Suite 210</w:t>
      </w:r>
    </w:p>
    <w:p>
      <w:pPr>
        <w:spacing w:after="0" w:line="9"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Attention: Dan Faga</w:t>
      </w:r>
    </w:p>
    <w:p>
      <w:pPr>
        <w:spacing w:after="0" w:line="9" w:lineRule="exact"/>
        <w:rPr>
          <w:sz w:val="20"/>
          <w:szCs w:val="20"/>
          <w:color w:val="auto"/>
        </w:rPr>
      </w:pPr>
    </w:p>
    <w:p>
      <w:pPr>
        <w:ind w:left="2864"/>
        <w:spacing w:after="0"/>
        <w:rPr>
          <w:sz w:val="20"/>
          <w:szCs w:val="20"/>
          <w:color w:val="auto"/>
        </w:rPr>
      </w:pPr>
      <w:r>
        <w:rPr>
          <w:rFonts w:ascii="Times New Roman" w:cs="Times New Roman" w:eastAsia="Times New Roman" w:hAnsi="Times New Roman"/>
          <w:sz w:val="18"/>
          <w:szCs w:val="18"/>
          <w:color w:val="auto"/>
        </w:rPr>
        <w:t> [***]</w:t>
      </w:r>
    </w:p>
    <w:p>
      <w:pPr>
        <w:spacing w:after="0" w:line="99" w:lineRule="exact"/>
        <w:rPr>
          <w:sz w:val="20"/>
          <w:szCs w:val="20"/>
          <w:color w:val="auto"/>
        </w:rPr>
      </w:pPr>
    </w:p>
    <w:p>
      <w:pPr>
        <w:ind w:left="1824"/>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117"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1285 Avenue of the Americas, New York, NY 10019</w:t>
      </w:r>
    </w:p>
    <w:p>
      <w:pPr>
        <w:spacing w:after="0" w:line="9"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Attention: Benjamin M. Goodchild; Timothy Cruickshank;</w:t>
      </w:r>
    </w:p>
    <w:p>
      <w:pPr>
        <w:spacing w:after="0" w:line="9"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Christodoulos Kaoutzanis</w:t>
      </w:r>
    </w:p>
    <w:p>
      <w:pPr>
        <w:spacing w:after="0" w:line="9"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Email: bgoodchild@paulweiss.com;</w:t>
      </w:r>
    </w:p>
    <w:p>
      <w:pPr>
        <w:spacing w:after="0" w:line="9" w:lineRule="exact"/>
        <w:rPr>
          <w:sz w:val="20"/>
          <w:szCs w:val="20"/>
          <w:color w:val="auto"/>
        </w:rPr>
      </w:pPr>
    </w:p>
    <w:p>
      <w:pPr>
        <w:ind w:left="2664"/>
        <w:spacing w:after="0"/>
        <w:rPr>
          <w:sz w:val="20"/>
          <w:szCs w:val="20"/>
          <w:color w:val="auto"/>
        </w:rPr>
      </w:pPr>
      <w:r>
        <w:rPr>
          <w:rFonts w:ascii="Times New Roman" w:cs="Times New Roman" w:eastAsia="Times New Roman" w:hAnsi="Times New Roman"/>
          <w:sz w:val="18"/>
          <w:szCs w:val="18"/>
          <w:color w:val="auto"/>
        </w:rPr>
        <w:t>tcruickshank@paulweiss.com; ckaoutzanis@paulweiss.com</w:t>
      </w:r>
    </w:p>
    <w:p>
      <w:pPr>
        <w:spacing w:after="0" w:line="99" w:lineRule="exact"/>
        <w:rPr>
          <w:sz w:val="20"/>
          <w:szCs w:val="20"/>
          <w:color w:val="auto"/>
        </w:rPr>
      </w:pPr>
    </w:p>
    <w:p>
      <w:pPr>
        <w:ind w:left="444" w:right="20" w:firstLine="948"/>
        <w:spacing w:after="0" w:line="282" w:lineRule="auto"/>
        <w:tabs>
          <w:tab w:leader="none" w:pos="160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Investor, at its e-mail address or address set forth on its signature page to the Purchase Agreement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225" w:lineRule="exact"/>
        <w:rPr>
          <w:sz w:val="20"/>
          <w:szCs w:val="20"/>
          <w:color w:val="auto"/>
        </w:rPr>
      </w:pPr>
    </w:p>
    <w:p>
      <w:pPr>
        <w:jc w:val="both"/>
        <w:ind w:left="4" w:firstLine="987"/>
        <w:spacing w:after="0" w:line="255" w:lineRule="auto"/>
        <w:tabs>
          <w:tab w:leader="none" w:pos="127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Subject to applicable requirements under applicable federal and state securities laws, each Investor consents to the delivery of any stockholder notice pursuant to the Delaware General Corporation Law, as amended or superseded from time to time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by electronic mail pursuant to Section 232 of the DGCL (or any successor thereto) at the e-mail address set forth below the Investor’s name on the signature page or Exhibit A, as updated from time to time by notice to the Company.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that failure to do so shall not affect the foregoing.</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6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of the Purchase Agreement are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161" w:name="page162"/>
    <w:bookmarkEnd w:id="161"/>
    <w:p>
      <w:pPr>
        <w:ind w:right="20" w:firstLine="987"/>
        <w:spacing w:after="0" w:line="282" w:lineRule="auto"/>
        <w:tabs>
          <w:tab w:leader="none" w:pos="123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1" w:lineRule="exact"/>
        <w:rPr>
          <w:rFonts w:ascii="Times New Roman" w:cs="Times New Roman" w:eastAsia="Times New Roman" w:hAnsi="Times New Roman"/>
          <w:sz w:val="18"/>
          <w:szCs w:val="18"/>
          <w:color w:val="auto"/>
        </w:rPr>
      </w:pPr>
    </w:p>
    <w:p>
      <w:pPr>
        <w:jc w:val="both"/>
        <w:ind w:firstLine="987"/>
        <w:spacing w:after="0" w:line="258" w:lineRule="auto"/>
        <w:tabs>
          <w:tab w:leader="none" w:pos="123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Interpretation</w:t>
      </w:r>
      <w:r>
        <w:rPr>
          <w:rFonts w:ascii="Times New Roman" w:cs="Times New Roman" w:eastAsia="Times New Roman" w:hAnsi="Times New Roman"/>
          <w:sz w:val="18"/>
          <w:szCs w:val="18"/>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61" w:lineRule="exact"/>
        <w:rPr>
          <w:rFonts w:ascii="Times New Roman" w:cs="Times New Roman" w:eastAsia="Times New Roman" w:hAnsi="Times New Roman"/>
          <w:sz w:val="18"/>
          <w:szCs w:val="18"/>
          <w:color w:val="auto"/>
        </w:rPr>
      </w:pPr>
    </w:p>
    <w:p>
      <w:pPr>
        <w:jc w:val="both"/>
        <w:ind w:firstLine="987"/>
        <w:spacing w:after="0" w:line="258" w:lineRule="auto"/>
        <w:tabs>
          <w:tab w:leader="none" w:pos="120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third-party beneficiary with respect to this Agreement or the transactions contemplated hereby.</w:t>
      </w:r>
    </w:p>
    <w:p>
      <w:pPr>
        <w:spacing w:after="0" w:line="183" w:lineRule="exact"/>
        <w:rPr>
          <w:rFonts w:ascii="Times New Roman" w:cs="Times New Roman" w:eastAsia="Times New Roman" w:hAnsi="Times New Roman"/>
          <w:sz w:val="18"/>
          <w:szCs w:val="18"/>
          <w:color w:val="auto"/>
        </w:rPr>
      </w:pPr>
    </w:p>
    <w:p>
      <w:pPr>
        <w:jc w:val="both"/>
        <w:ind w:firstLine="987"/>
        <w:spacing w:after="0" w:line="261" w:lineRule="auto"/>
        <w:tabs>
          <w:tab w:leader="none" w:pos="120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54" w:lineRule="auto"/>
        <w:tabs>
          <w:tab w:leader="none" w:pos="12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91" w:lineRule="exact"/>
        <w:rPr>
          <w:rFonts w:ascii="Times New Roman" w:cs="Times New Roman" w:eastAsia="Times New Roman" w:hAnsi="Times New Roman"/>
          <w:sz w:val="18"/>
          <w:szCs w:val="18"/>
          <w:color w:val="auto"/>
        </w:rPr>
      </w:pPr>
    </w:p>
    <w:p>
      <w:pPr>
        <w:jc w:val="both"/>
        <w:ind w:firstLine="987"/>
        <w:spacing w:after="0" w:line="266" w:lineRule="auto"/>
        <w:tabs>
          <w:tab w:leader="none" w:pos="123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 </w:t>
      </w:r>
      <w:r>
        <w:rPr>
          <w:rFonts w:ascii="Times New Roman" w:cs="Times New Roman" w:eastAsia="Times New Roman" w:hAnsi="Times New Roman"/>
          <w:sz w:val="17"/>
          <w:szCs w:val="17"/>
          <w:u w:val="single" w:color="auto"/>
          <w:color w:val="auto"/>
        </w:rPr>
        <w:t>Cumulative Remedies</w:t>
      </w:r>
      <w:r>
        <w:rPr>
          <w:rFonts w:ascii="Times New Roman" w:cs="Times New Roman" w:eastAsia="Times New Roman" w:hAnsi="Times New Roman"/>
          <w:sz w:val="17"/>
          <w:szCs w:val="17"/>
          <w:color w:val="auto"/>
        </w:rPr>
        <w:t>. The remedies provided herein are cumulative and not exclusive of any remedies provided by law.</w:t>
      </w:r>
    </w:p>
    <w:p>
      <w:pPr>
        <w:sectPr>
          <w:pgSz w:w="11900" w:h="16838" w:orient="portrait"/>
          <w:cols w:equalWidth="0" w:num="1">
            <w:col w:w="9039"/>
          </w:cols>
          <w:pgMar w:left="1420" w:top="270" w:right="1440"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039"/>
          </w:cols>
          <w:pgMar w:left="1420" w:top="270" w:right="1440"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FIRST TRACKS BIOTHERAPEUTICS,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Dan Faga</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3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60"/>
          </w:cols>
          <w:pgMar w:left="1420" w:top="266" w:right="5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17145</wp:posOffset>
            </wp:positionV>
            <wp:extent cx="2425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[Investor Signature Pages on File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9960"/>
          </w:cols>
          <w:pgMar w:left="1420" w:top="266" w:right="51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received after the date of this prospectus from a selling stockholder as a gift, pledge, partnership distribution or other transfer, may, from time to time, sell, transfer or otherwise dispose of any or all of their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w:t>
      </w:r>
    </w:p>
    <w:p>
      <w:pPr>
        <w:spacing w:after="0" w:line="131" w:lineRule="exact"/>
        <w:rPr>
          <w:sz w:val="20"/>
          <w:szCs w:val="20"/>
          <w:color w:val="auto"/>
        </w:rPr>
      </w:pPr>
    </w:p>
    <w:p>
      <w:pPr>
        <w:ind w:left="960" w:hanging="424"/>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on a best-efforts basis;</w:t>
      </w:r>
    </w:p>
    <w:p>
      <w:pPr>
        <w:spacing w:after="0" w:line="130" w:lineRule="exact"/>
        <w:rPr>
          <w:rFonts w:ascii="Times New Roman" w:cs="Times New Roman" w:eastAsia="Times New Roman" w:hAnsi="Times New Roman"/>
          <w:sz w:val="18"/>
          <w:szCs w:val="18"/>
          <w:color w:val="auto"/>
        </w:rPr>
      </w:pPr>
    </w:p>
    <w:p>
      <w:pPr>
        <w:jc w:val="both"/>
        <w:ind w:left="960" w:hanging="424"/>
        <w:spacing w:after="0" w:line="266" w:lineRule="auto"/>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plans entered into by the selling stockholders pursuant to Rule 10b5-1 under the Exchange Act that are in place at the time of an offering pursuant to this prospectus and any applicable prospectus supplement hereto that provide for periodic sales of their shares of common stock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66" w:name="page167"/>
    <w:bookmarkEnd w:id="166"/>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67" w:name="page168"/>
    <w:bookmarkEnd w:id="16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68" w:name="page169"/>
    <w:bookmarkEnd w:id="168"/>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Investor Questionnaire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52" w:lineRule="exact"/>
        <w:rPr>
          <w:sz w:val="20"/>
          <w:szCs w:val="20"/>
          <w:color w:val="auto"/>
        </w:rPr>
      </w:pPr>
    </w:p>
    <w:p>
      <w:pPr>
        <w:ind w:left="244" w:hanging="244"/>
        <w:spacing w:after="0"/>
        <w:tabs>
          <w:tab w:leader="none" w:pos="244"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121" w:lineRule="exact"/>
        <w:rPr>
          <w:rFonts w:ascii="Times New Roman" w:cs="Times New Roman" w:eastAsia="Times New Roman" w:hAnsi="Times New Roman"/>
          <w:sz w:val="18"/>
          <w:szCs w:val="18"/>
          <w:b w:val="1"/>
          <w:bCs w:val="1"/>
          <w:color w:val="auto"/>
        </w:rPr>
      </w:pPr>
    </w:p>
    <w:p>
      <w:pPr>
        <w:ind w:left="884" w:hanging="641"/>
        <w:spacing w:after="0"/>
        <w:tabs>
          <w:tab w:leader="none" w:pos="88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Investor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884" w:hanging="641"/>
        <w:spacing w:after="0"/>
        <w:tabs>
          <w:tab w:leader="none" w:pos="88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884" w:hanging="641"/>
        <w:spacing w:after="0" w:line="282" w:lineRule="auto"/>
        <w:tabs>
          <w:tab w:leader="none" w:pos="88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-1334135</wp:posOffset>
            </wp:positionV>
            <wp:extent cx="64293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-905510</wp:posOffset>
            </wp:positionV>
            <wp:extent cx="64293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-339725</wp:posOffset>
            </wp:positionV>
            <wp:extent cx="64293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293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311150</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534035</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756920</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17145</wp:posOffset>
            </wp:positionV>
            <wp:extent cx="64204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1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17145</wp:posOffset>
            </wp:positionV>
            <wp:extent cx="65747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1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169" w:name="page170"/>
    <w:bookmarkEnd w:id="16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17145</wp:posOffset>
            </wp:positionV>
            <wp:extent cx="607758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336" w:lineRule="exact"/>
        <w:rPr>
          <w:sz w:val="20"/>
          <w:szCs w:val="20"/>
          <w:color w:val="auto"/>
        </w:rPr>
      </w:pPr>
    </w:p>
    <w:p>
      <w:pPr>
        <w:ind w:left="184" w:hanging="184"/>
        <w:spacing w:after="0"/>
        <w:tabs>
          <w:tab w:leader="none" w:pos="184"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211"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4744" w:right="340" w:hanging="4312"/>
        <w:spacing w:after="0" w:line="361" w:lineRule="exact"/>
        <w:tabs>
          <w:tab w:leader="none" w:pos="97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“yes” to Section 3(a), did you receive your Registrable Securities as compensation for investment banking services to the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Note:  If “no” to Section 3(b), the Commission’s staff has indicated that you should be identified as an underwriter in the Registration Statement.</w:t>
      </w:r>
    </w:p>
    <w:p>
      <w:pPr>
        <w:spacing w:after="0" w:line="131" w:lineRule="exact"/>
        <w:rPr>
          <w:sz w:val="20"/>
          <w:szCs w:val="20"/>
          <w:color w:val="auto"/>
        </w:rPr>
      </w:pPr>
    </w:p>
    <w:p>
      <w:pPr>
        <w:ind w:left="964" w:hanging="532"/>
        <w:spacing w:after="0"/>
        <w:tabs>
          <w:tab w:leader="none" w:pos="96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211"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ind w:left="964" w:hanging="532"/>
        <w:spacing w:after="0" w:line="266" w:lineRule="auto"/>
        <w:tabs>
          <w:tab w:leader="none" w:pos="96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62" w:lineRule="exact"/>
        <w:rPr>
          <w:sz w:val="20"/>
          <w:szCs w:val="20"/>
          <w:color w:val="auto"/>
        </w:rPr>
      </w:pPr>
    </w:p>
    <w:p>
      <w:pPr>
        <w:jc w:val="center"/>
        <w:ind w:right="-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Note:  If “no” to Section 3(d), the Commission’s staff has indicated that you should be identified as an underwriter in the Registration Statement.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Beneficial Ownership of Securities of the Company Owned by the Investor.</w:t>
      </w:r>
    </w:p>
    <w:p>
      <w:pPr>
        <w:spacing w:after="0" w:line="119" w:lineRule="exact"/>
        <w:rPr>
          <w:sz w:val="20"/>
          <w:szCs w:val="20"/>
          <w:color w:val="auto"/>
        </w:rPr>
      </w:pPr>
    </w:p>
    <w:p>
      <w:pPr>
        <w:ind w:left="444"/>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87" w:lineRule="exact"/>
        <w:rPr>
          <w:sz w:val="20"/>
          <w:szCs w:val="20"/>
          <w:color w:val="auto"/>
        </w:rPr>
      </w:pPr>
    </w:p>
    <w:p>
      <w:pPr>
        <w:ind w:left="884" w:hanging="524"/>
        <w:spacing w:after="0"/>
        <w:tabs>
          <w:tab w:leader="none" w:pos="88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Investor: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54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-453390</wp:posOffset>
            </wp:positionV>
            <wp:extent cx="64293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-230505</wp:posOffset>
            </wp:positionV>
            <wp:extent cx="64293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29375"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Relationships with the Company:</w:t>
      </w:r>
    </w:p>
    <w:p>
      <w:pPr>
        <w:spacing w:after="0" w:line="119" w:lineRule="exact"/>
        <w:rPr>
          <w:sz w:val="20"/>
          <w:szCs w:val="20"/>
          <w:color w:val="auto"/>
        </w:rPr>
      </w:pPr>
    </w:p>
    <w:p>
      <w:pPr>
        <w:jc w:val="both"/>
        <w:ind w:left="44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or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308610</wp:posOffset>
            </wp:positionV>
            <wp:extent cx="67119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531495</wp:posOffset>
            </wp:positionV>
            <wp:extent cx="67119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89"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 xml:space="preserve">Date:                                                       </w:t>
      </w:r>
      <w:r>
        <w:rPr>
          <w:sz w:val="20"/>
          <w:szCs w:val="20"/>
          <w:color w:val="auto"/>
        </w:rPr>
        <w:tab/>
      </w:r>
      <w:r>
        <w:rPr>
          <w:rFonts w:ascii="Times New Roman" w:cs="Times New Roman" w:eastAsia="Times New Roman" w:hAnsi="Times New Roman"/>
          <w:sz w:val="17"/>
          <w:szCs w:val="17"/>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-7620</wp:posOffset>
            </wp:positionV>
            <wp:extent cx="20567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pacing w:after="0" w:line="2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QUESTIONNAIRE TO: [•]</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Tracks Biotherapeutics Debuts on Nasdaq to Advance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Therapies for Autoimmune Diseases</w:t>
      </w:r>
    </w:p>
    <w:p>
      <w:pPr>
        <w:spacing w:after="0" w:line="234" w:lineRule="exact"/>
        <w:rPr>
          <w:sz w:val="20"/>
          <w:szCs w:val="20"/>
          <w:color w:val="auto"/>
        </w:rPr>
      </w:pPr>
    </w:p>
    <w:p>
      <w:pPr>
        <w:ind w:left="960" w:hanging="424"/>
        <w:spacing w:after="0"/>
        <w:tabs>
          <w:tab w:leader="none" w:pos="9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Tracks Biotherapeutics launches with $180 million in cash and two-year cash-runway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of TRAX begins on Nasdaq today</w:t>
      </w:r>
    </w:p>
    <w:p>
      <w:pPr>
        <w:spacing w:after="0" w:line="22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DIEGO, CA — April 20, 2026 — </w:t>
      </w:r>
      <w:r>
        <w:rPr>
          <w:rFonts w:ascii="Times New Roman" w:cs="Times New Roman" w:eastAsia="Times New Roman" w:hAnsi="Times New Roman"/>
          <w:sz w:val="18"/>
          <w:szCs w:val="18"/>
          <w:color w:val="auto"/>
        </w:rPr>
        <w:t>First Tracks Biotherapeutics, Inc. (Nasdaq: TRAX) today announced its launch as an independent, publicly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traded clinical-stage biotechnology company advancing antibody therapeutics that modulate immune pathways implicated in autoimmune and inflammatory diseases. First Tracks Bio will trade on the Nasdaq Global Select Market, commencing today, under the ticker symbol “TRAX.”</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“Today marks the official launch of First Tracks Bio and the start of a bold new chapter focused on developing antibodies for autoimmune diseases, including our lead operating program, ANB033, in development to treat celiac disease and eosinophilic esophagitis,” said Daniel Faga, president and chief executive officer. “We’re energized by the patients, physicians, employees and investors who share and are committed to our vision as we advance therapies built to deliver meaningful impact and long-term value.”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First Tracks Bio’s initial three development-stage assets will include ANB033, a CD122 antagonist, in a Phase 1b trial for celiac disease and eosinophilic esophagitis; rosnilimab, a pathogenic T cell depleter, which has completed a Phase 2b trial for rheumatoid arthritis; and ANB101, a BDCA2 modulator, in a Phase 1a trial.</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spin-off was completed today following the distribution to AnaptysBio, Inc. shareholders of one share of First Tracks Bio common stock for every one share of Anaptys common stock owned as of the close of business on April 6, 2026, the record date for the distribution.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First Tracks Biotherapeutics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First Tracks Biotherapeutics is a clinical stage biotechnology company advancing antibody therapies that modulate immune pathways implicated in autoimmune and inflammatory diseases. Its pipeline includes ANB033, a CD122 antagonist in development for celiac disease and eosinophilic esophagitis; rosnilimab, a pathogenic T cell depleter in development for rheumatoid arthritis; and ANB101, a BDCA2 modulator. To learn more, visit </w:t>
      </w:r>
      <w:r>
        <w:rPr>
          <w:rFonts w:ascii="Times New Roman" w:cs="Times New Roman" w:eastAsia="Times New Roman" w:hAnsi="Times New Roman"/>
          <w:sz w:val="18"/>
          <w:szCs w:val="18"/>
          <w:u w:val="single" w:color="auto"/>
          <w:color w:val="auto"/>
        </w:rPr>
        <w:t>www.FirstTracksBio.com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the projected cash runway for the company.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Nick Montemarano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858.732.0178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investors@firsttracksbio.com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C550"/>
    <w:multiLevelType w:val="hybridMultilevel"/>
    <w:lvl w:ilvl="0">
      <w:lvlJc w:val="left"/>
      <w:lvlText w:val="☐"/>
      <w:numFmt w:val="bullet"/>
      <w:start w:val="1"/>
    </w:lvl>
  </w:abstractNum>
  <w:abstractNum w:abstractNumId="1">
    <w:nsid w:val="2DF6D648"/>
    <w:multiLevelType w:val="hybridMultilevel"/>
    <w:lvl w:ilvl="0">
      <w:lvlJc w:val="left"/>
      <w:lvlText w:val="•"/>
      <w:numFmt w:val="bullet"/>
      <w:start w:val="1"/>
    </w:lvl>
  </w:abstractNum>
  <w:abstractNum w:abstractNumId="2">
    <w:nsid w:val="46B7D447"/>
    <w:multiLevelType w:val="hybridMultilevel"/>
    <w:lvl w:ilvl="0">
      <w:lvlJc w:val="left"/>
      <w:lvlText w:val="•"/>
      <w:numFmt w:val="bullet"/>
      <w:start w:val="1"/>
    </w:lvl>
  </w:abstractNum>
  <w:abstractNum w:abstractNumId="3">
    <w:nsid w:val="4A2AC315"/>
    <w:multiLevelType w:val="hybridMultilevel"/>
    <w:lvl w:ilvl="0">
      <w:lvlJc w:val="left"/>
      <w:lvlText w:val="•"/>
      <w:numFmt w:val="bullet"/>
      <w:start w:val="1"/>
    </w:lvl>
  </w:abstractNum>
  <w:abstractNum w:abstractNumId="4">
    <w:nsid w:val="39EE015C"/>
    <w:multiLevelType w:val="hybridMultilevel"/>
    <w:lvl w:ilvl="0">
      <w:lvlJc w:val="left"/>
      <w:lvlText w:val="•"/>
      <w:numFmt w:val="bullet"/>
      <w:start w:val="1"/>
    </w:lvl>
  </w:abstractNum>
  <w:abstractNum w:abstractNumId="5">
    <w:nsid w:val="57FC4FBB"/>
    <w:multiLevelType w:val="hybridMultilevel"/>
    <w:lvl w:ilvl="0">
      <w:lvlJc w:val="left"/>
      <w:lvlText w:val="•"/>
      <w:numFmt w:val="bullet"/>
      <w:start w:val="1"/>
    </w:lvl>
  </w:abstractNum>
  <w:abstractNum w:abstractNumId="6">
    <w:nsid w:val="CC1016F"/>
    <w:multiLevelType w:val="hybridMultilevel"/>
    <w:lvl w:ilvl="0">
      <w:lvlJc w:val="left"/>
      <w:lvlText w:val="•"/>
      <w:numFmt w:val="bullet"/>
      <w:start w:val="1"/>
    </w:lvl>
  </w:abstractNum>
  <w:abstractNum w:abstractNumId="7">
    <w:nsid w:val="43F18422"/>
    <w:multiLevelType w:val="hybridMultilevel"/>
    <w:lvl w:ilvl="0">
      <w:lvlJc w:val="left"/>
      <w:lvlText w:val="•"/>
      <w:numFmt w:val="bullet"/>
      <w:start w:val="1"/>
    </w:lvl>
  </w:abstractNum>
  <w:abstractNum w:abstractNumId="8">
    <w:nsid w:val="60EF0119"/>
    <w:multiLevelType w:val="hybridMultilevel"/>
    <w:lvl w:ilvl="0">
      <w:lvlJc w:val="left"/>
      <w:lvlText w:val="•"/>
      <w:numFmt w:val="bullet"/>
      <w:start w:val="1"/>
    </w:lvl>
  </w:abstractNum>
  <w:abstractNum w:abstractNumId="9">
    <w:nsid w:val="26F324BA"/>
    <w:multiLevelType w:val="hybridMultilevel"/>
    <w:lvl w:ilvl="0">
      <w:lvlJc w:val="left"/>
      <w:lvlText w:val="•"/>
      <w:numFmt w:val="bullet"/>
      <w:start w:val="1"/>
    </w:lvl>
  </w:abstractNum>
  <w:abstractNum w:abstractNumId="10">
    <w:nsid w:val="7F01579B"/>
    <w:multiLevelType w:val="hybridMultilevel"/>
    <w:lvl w:ilvl="0">
      <w:lvlJc w:val="left"/>
      <w:lvlText w:val="•"/>
      <w:numFmt w:val="bullet"/>
      <w:start w:val="1"/>
    </w:lvl>
  </w:abstractNum>
  <w:abstractNum w:abstractNumId="11">
    <w:nsid w:val="49DA307D"/>
    <w:multiLevelType w:val="hybridMultilevel"/>
    <w:lvl w:ilvl="0">
      <w:lvlJc w:val="left"/>
      <w:lvlText w:val="•"/>
      <w:numFmt w:val="bullet"/>
      <w:start w:val="1"/>
    </w:lvl>
  </w:abstractNum>
  <w:abstractNum w:abstractNumId="12">
    <w:nsid w:val="7055A5F5"/>
    <w:multiLevelType w:val="hybridMultilevel"/>
    <w:lvl w:ilvl="0">
      <w:lvlJc w:val="left"/>
      <w:lvlText w:val="(%1)"/>
      <w:numFmt w:val="lowerRoman"/>
      <w:start w:val="2"/>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
      <w:numFmt w:val="bullet"/>
      <w:start w:val="1"/>
    </w:lvl>
  </w:abstractNum>
  <w:abstractNum w:abstractNumId="15">
    <w:nsid w:val="488AC1A"/>
    <w:multiLevelType w:val="hybridMultilevel"/>
    <w:lvl w:ilvl="0">
      <w:lvlJc w:val="left"/>
      <w:lvlText w:val="(%1)"/>
      <w:numFmt w:val="lowerLetter"/>
      <w:start w:val="1"/>
    </w:lvl>
  </w:abstractNum>
  <w:abstractNum w:abstractNumId="16">
    <w:nsid w:val="5FB8011C"/>
    <w:multiLevelType w:val="hybridMultilevel"/>
    <w:lvl w:ilvl="0">
      <w:lvlJc w:val="left"/>
      <w:lvlText w:val="(%1)"/>
      <w:numFmt w:val="lowerLetter"/>
      <w:start w:val="3"/>
    </w:lvl>
  </w:abstractNum>
  <w:abstractNum w:abstractNumId="17">
    <w:nsid w:val="6AA78F7F"/>
    <w:multiLevelType w:val="hybridMultilevel"/>
    <w:lvl w:ilvl="0">
      <w:lvlJc w:val="left"/>
      <w:lvlText w:val="(%1)"/>
      <w:numFmt w:val="lowerLetter"/>
      <w:start w:val="1"/>
    </w:lvl>
  </w:abstractNum>
  <w:abstractNum w:abstractNumId="18">
    <w:nsid w:val="7672BD23"/>
    <w:multiLevelType w:val="hybridMultilevel"/>
    <w:lvl w:ilvl="0">
      <w:lvlJc w:val="left"/>
      <w:lvlText w:val="(%1)"/>
      <w:numFmt w:val="lowerLetter"/>
      <w:start w:val="2"/>
    </w:lvl>
  </w:abstractNum>
  <w:abstractNum w:abstractNumId="19">
    <w:nsid w:val="6FC75AF8"/>
    <w:multiLevelType w:val="hybridMultilevel"/>
    <w:lvl w:ilvl="0">
      <w:lvlJc w:val="left"/>
      <w:lvlText w:val="(%1)"/>
      <w:numFmt w:val="lowerLetter"/>
      <w:start w:val="2"/>
    </w:lvl>
  </w:abstractNum>
  <w:abstractNum w:abstractNumId="20">
    <w:nsid w:val="6A5F7029"/>
    <w:multiLevelType w:val="hybridMultilevel"/>
    <w:lvl w:ilvl="0">
      <w:lvlJc w:val="left"/>
      <w:lvlText w:val="(%1)"/>
      <w:numFmt w:val="lowerLetter"/>
      <w:start w:val="1"/>
    </w:lvl>
    <w:lvl w:ilvl="1">
      <w:lvlJc w:val="left"/>
      <w:lvlText w:val="(%2)"/>
      <w:numFmt w:val="lowerRoman"/>
      <w:start w:val="1"/>
    </w:lvl>
  </w:abstractNum>
  <w:abstractNum w:abstractNumId="21">
    <w:nsid w:val="7D5E18F8"/>
    <w:multiLevelType w:val="hybridMultilevel"/>
    <w:lvl w:ilvl="0">
      <w:lvlJc w:val="left"/>
      <w:lvlText w:val="(%1)"/>
      <w:numFmt w:val="lowerLetter"/>
      <w:start w:val="3"/>
    </w:lvl>
  </w:abstractNum>
  <w:abstractNum w:abstractNumId="22">
    <w:nsid w:val="5F3534A4"/>
    <w:multiLevelType w:val="hybridMultilevel"/>
    <w:lvl w:ilvl="0">
      <w:lvlJc w:val="left"/>
      <w:lvlText w:val="(%1)"/>
      <w:numFmt w:val="lowerLetter"/>
      <w:start w:val="1"/>
    </w:lvl>
  </w:abstractNum>
  <w:abstractNum w:abstractNumId="23">
    <w:nsid w:val="73A1821B"/>
    <w:multiLevelType w:val="hybridMultilevel"/>
    <w:lvl w:ilvl="0">
      <w:lvlJc w:val="left"/>
      <w:lvlText w:val="(%1)"/>
      <w:numFmt w:val="lowerLetter"/>
      <w:start w:val="3"/>
    </w:lvl>
  </w:abstractNum>
  <w:abstractNum w:abstractNumId="24">
    <w:nsid w:val="7DE67713"/>
    <w:multiLevelType w:val="hybridMultilevel"/>
    <w:lvl w:ilvl="0">
      <w:lvlJc w:val="left"/>
      <w:lvlText w:val="%1"/>
      <w:numFmt w:val="upperLetter"/>
      <w:start w:val="1"/>
    </w:lvl>
    <w:lvl w:ilvl="1">
      <w:lvlJc w:val="left"/>
      <w:lvlText w:val="(%2)"/>
      <w:numFmt w:val="lowerLetter"/>
      <w:start w:val="1"/>
    </w:lvl>
  </w:abstractNum>
  <w:abstractNum w:abstractNumId="25">
    <w:nsid w:val="555C55B5"/>
    <w:multiLevelType w:val="hybridMultilevel"/>
    <w:lvl w:ilvl="0">
      <w:lvlJc w:val="left"/>
      <w:lvlText w:val="(%1)"/>
      <w:numFmt w:val="upperLetter"/>
      <w:start w:val="1"/>
    </w:lvl>
    <w:lvl w:ilvl="1">
      <w:lvlJc w:val="left"/>
      <w:lvlText w:val="(%2)"/>
      <w:numFmt w:val="lowerLetter"/>
      <w:start w:val="2"/>
    </w:lvl>
  </w:abstractNum>
  <w:abstractNum w:abstractNumId="26">
    <w:nsid w:val="3FA62ACA"/>
    <w:multiLevelType w:val="hybridMultilevel"/>
    <w:lvl w:ilvl="0">
      <w:lvlJc w:val="left"/>
      <w:lvlText w:val="(%1)"/>
      <w:numFmt w:val="lowerLetter"/>
      <w:start w:val="1"/>
    </w:lvl>
  </w:abstractNum>
  <w:abstractNum w:abstractNumId="27">
    <w:nsid w:val="14FCE74E"/>
    <w:multiLevelType w:val="hybridMultilevel"/>
    <w:lvl w:ilvl="0">
      <w:lvlJc w:val="left"/>
      <w:lvlText w:val="%1"/>
      <w:numFmt w:val="lowerLetter"/>
      <w:start w:val="1"/>
    </w:lvl>
    <w:lvl w:ilvl="1">
      <w:lvlJc w:val="left"/>
      <w:lvlText w:val="(%2)"/>
      <w:numFmt w:val="lowerLetter"/>
      <w:start w:val="1"/>
    </w:lvl>
  </w:abstractNum>
  <w:abstractNum w:abstractNumId="28">
    <w:nsid w:val="6A3DD3E8"/>
    <w:multiLevelType w:val="hybridMultilevel"/>
    <w:lvl w:ilvl="0">
      <w:lvlJc w:val="left"/>
      <w:lvlText w:val="(%1)"/>
      <w:numFmt w:val="lowerLetter"/>
      <w:start w:val="35"/>
    </w:lvl>
    <w:lvl w:ilvl="1">
      <w:lvlJc w:val="left"/>
      <w:lvlText w:val="(%2)"/>
      <w:numFmt w:val="lowerLetter"/>
      <w:start w:val="2"/>
    </w:lvl>
  </w:abstractNum>
  <w:abstractNum w:abstractNumId="29">
    <w:nsid w:val="71C91298"/>
    <w:multiLevelType w:val="hybridMultilevel"/>
    <w:lvl w:ilvl="0">
      <w:lvlJc w:val="left"/>
      <w:lvlText w:val="(%1)"/>
      <w:numFmt w:val="lowerLetter"/>
      <w:start w:val="1"/>
    </w:lvl>
    <w:lvl w:ilvl="1">
      <w:lvlJc w:val="left"/>
      <w:lvlText w:val="%2"/>
      <w:numFmt w:val="lowerLetter"/>
      <w:start w:val="1"/>
    </w:lvl>
  </w:abstractNum>
  <w:abstractNum w:abstractNumId="30">
    <w:nsid w:val="9DAF632"/>
    <w:multiLevelType w:val="hybridMultilevel"/>
    <w:lvl w:ilvl="0">
      <w:lvlJc w:val="left"/>
      <w:lvlText w:val="(%1)"/>
      <w:numFmt w:val="lowerLetter"/>
      <w:start w:val="1"/>
    </w:lvl>
  </w:abstractNum>
  <w:abstractNum w:abstractNumId="31">
    <w:nsid w:val="53299938"/>
    <w:multiLevelType w:val="hybridMultilevel"/>
    <w:lvl w:ilvl="0">
      <w:lvlJc w:val="left"/>
      <w:lvlText w:val="(%1)"/>
      <w:numFmt w:val="lowerLetter"/>
      <w:start w:val="1"/>
    </w:lvl>
  </w:abstractNum>
  <w:abstractNum w:abstractNumId="32">
    <w:nsid w:val="1FBFE8E0"/>
    <w:multiLevelType w:val="hybridMultilevel"/>
    <w:lvl w:ilvl="0">
      <w:lvlJc w:val="left"/>
      <w:lvlText w:val="(%1)"/>
      <w:numFmt w:val="lowerLetter"/>
      <w:start w:val="1"/>
    </w:lvl>
  </w:abstractNum>
  <w:abstractNum w:abstractNumId="33">
    <w:nsid w:val="5092CA79"/>
    <w:multiLevelType w:val="hybridMultilevel"/>
    <w:lvl w:ilvl="0">
      <w:lvlJc w:val="left"/>
      <w:lvlText w:val="(%1)"/>
      <w:numFmt w:val="lowerLetter"/>
      <w:start w:val="1"/>
    </w:lvl>
  </w:abstractNum>
  <w:abstractNum w:abstractNumId="34">
    <w:nsid w:val="1D545C4D"/>
    <w:multiLevelType w:val="hybridMultilevel"/>
    <w:lvl w:ilvl="0">
      <w:lvlJc w:val="left"/>
      <w:lvlText w:val="%1"/>
      <w:numFmt w:val="lowerLetter"/>
      <w:start w:val="1"/>
    </w:lvl>
    <w:lvl w:ilvl="1">
      <w:lvlJc w:val="left"/>
      <w:lvlText w:val="(%2)"/>
      <w:numFmt w:val="lowerRoman"/>
      <w:start w:val="1"/>
    </w:lvl>
  </w:abstractNum>
  <w:abstractNum w:abstractNumId="35">
    <w:nsid w:val="59ADEA3D"/>
    <w:multiLevelType w:val="hybridMultilevel"/>
    <w:lvl w:ilvl="0">
      <w:lvlJc w:val="left"/>
      <w:lvlText w:val="(%1)"/>
      <w:numFmt w:val="lowerLetter"/>
      <w:start w:val="2"/>
    </w:lvl>
    <w:lvl w:ilvl="1">
      <w:lvlJc w:val="left"/>
      <w:lvlText w:val="%2"/>
      <w:numFmt w:val="lowerRoman"/>
      <w:start w:val="1"/>
    </w:lvl>
  </w:abstractNum>
  <w:abstractNum w:abstractNumId="36">
    <w:nsid w:val="288F1A34"/>
    <w:multiLevelType w:val="hybridMultilevel"/>
    <w:lvl w:ilvl="0">
      <w:lvlJc w:val="left"/>
      <w:lvlText w:val="(%1)"/>
      <w:numFmt w:val="lowerLetter"/>
      <w:start w:val="4"/>
    </w:lvl>
    <w:lvl w:ilvl="1">
      <w:lvlJc w:val="left"/>
      <w:lvlText w:val="(%2)"/>
      <w:numFmt w:val="lowerRoman"/>
      <w:start w:val="1"/>
    </w:lvl>
  </w:abstractNum>
  <w:abstractNum w:abstractNumId="37">
    <w:nsid w:val="2A155DBC"/>
    <w:multiLevelType w:val="hybridMultilevel"/>
    <w:lvl w:ilvl="0">
      <w:lvlJc w:val="left"/>
      <w:lvlText w:val="%1"/>
      <w:numFmt w:val="lowerRoman"/>
      <w:start w:val="1"/>
    </w:lvl>
    <w:lvl w:ilvl="1">
      <w:lvlJc w:val="left"/>
      <w:lvlText w:val="(%2)"/>
      <w:numFmt w:val="lowerRoman"/>
      <w:start w:val="6"/>
    </w:lvl>
  </w:abstractNum>
  <w:abstractNum w:abstractNumId="38">
    <w:nsid w:val="1D9F6E5F"/>
    <w:multiLevelType w:val="hybridMultilevel"/>
    <w:lvl w:ilvl="0">
      <w:lvlJc w:val="left"/>
      <w:lvlText w:val="(%1)"/>
      <w:numFmt w:val="lowerRoman"/>
      <w:start w:val="1"/>
    </w:lvl>
    <w:lvl w:ilvl="1">
      <w:lvlJc w:val="left"/>
      <w:lvlText w:val="(%2)"/>
      <w:numFmt w:val="lowerRoman"/>
      <w:start w:val="7"/>
    </w:lvl>
  </w:abstractNum>
  <w:abstractNum w:abstractNumId="39">
    <w:nsid w:val="97E1B4E"/>
    <w:multiLevelType w:val="hybridMultilevel"/>
    <w:lvl w:ilvl="0">
      <w:lvlJc w:val="left"/>
      <w:lvlText w:val="(%1)"/>
      <w:numFmt w:val="lowerLetter"/>
      <w:start w:val="5"/>
    </w:lvl>
  </w:abstractNum>
  <w:abstractNum w:abstractNumId="40">
    <w:nsid w:val="51088277"/>
    <w:multiLevelType w:val="hybridMultilevel"/>
    <w:lvl w:ilvl="0">
      <w:lvlJc w:val="left"/>
      <w:lvlText w:val="(%1)"/>
      <w:numFmt w:val="lowerLetter"/>
      <w:start w:val="9"/>
    </w:lvl>
  </w:abstractNum>
  <w:abstractNum w:abstractNumId="41">
    <w:nsid w:val="1CA0C5FA"/>
    <w:multiLevelType w:val="hybridMultilevel"/>
    <w:lvl w:ilvl="0">
      <w:lvlJc w:val="left"/>
      <w:lvlText w:val="(%1)"/>
      <w:numFmt w:val="decimal"/>
      <w:start w:val="24"/>
    </w:lvl>
  </w:abstractNum>
  <w:abstractNum w:abstractNumId="42">
    <w:nsid w:val="53584B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
    <w:nsid w:val="415E286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4">
    <w:nsid w:val="7C58FD05"/>
    <w:multiLevelType w:val="hybridMultilevel"/>
    <w:lvl w:ilvl="0">
      <w:lvlJc w:val="left"/>
      <w:lvlText w:val="(%1)"/>
      <w:numFmt w:val="lowerLetter"/>
      <w:start w:val="2"/>
    </w:lvl>
  </w:abstractNum>
  <w:abstractNum w:abstractNumId="45">
    <w:nsid w:val="23D86AAC"/>
    <w:multiLevelType w:val="hybridMultilevel"/>
    <w:lvl w:ilvl="0">
      <w:lvlJc w:val="left"/>
      <w:lvlText w:val="(%1)"/>
      <w:numFmt w:val="lowerLetter"/>
      <w:start w:val="5"/>
    </w:lvl>
  </w:abstractNum>
  <w:abstractNum w:abstractNumId="46">
    <w:nsid w:val="45E6D486"/>
    <w:multiLevelType w:val="hybridMultilevel"/>
    <w:lvl w:ilvl="0">
      <w:lvlJc w:val="left"/>
      <w:lvlText w:val="(%1)"/>
      <w:numFmt w:val="lowerLetter"/>
      <w:start w:val="1"/>
    </w:lvl>
  </w:abstractNum>
  <w:abstractNum w:abstractNumId="47">
    <w:nsid w:val="5C10FE21"/>
    <w:multiLevelType w:val="hybridMultilevel"/>
    <w:lvl w:ilvl="0">
      <w:lvlJc w:val="left"/>
      <w:lvlText w:val="(%1)"/>
      <w:numFmt w:val="lowerLetter"/>
      <w:start w:val="5"/>
    </w:lvl>
  </w:abstractNum>
  <w:abstractNum w:abstractNumId="48">
    <w:nsid w:val="E7FFA2B"/>
    <w:multiLevelType w:val="hybridMultilevel"/>
    <w:lvl w:ilvl="0">
      <w:lvlJc w:val="left"/>
      <w:lvlText w:val="(%1)"/>
      <w:numFmt w:val="lowerLetter"/>
      <w:start w:val="1"/>
    </w:lvl>
  </w:abstractNum>
  <w:abstractNum w:abstractNumId="49">
    <w:nsid w:val="3C5991AA"/>
    <w:multiLevelType w:val="hybridMultilevel"/>
    <w:lvl w:ilvl="0">
      <w:lvlJc w:val="left"/>
      <w:lvlText w:val="(%1)"/>
      <w:numFmt w:val="lowerLetter"/>
      <w:start w:val="4"/>
    </w:lvl>
  </w:abstractNum>
  <w:abstractNum w:abstractNumId="50">
    <w:nsid w:val="4BD8591A"/>
    <w:multiLevelType w:val="hybridMultilevel"/>
    <w:lvl w:ilvl="0">
      <w:lvlJc w:val="left"/>
      <w:lvlText w:val="%1"/>
      <w:numFmt w:val="lowerLetter"/>
      <w:start w:val="1"/>
    </w:lvl>
    <w:lvl w:ilvl="1">
      <w:lvlJc w:val="left"/>
      <w:lvlText w:val="(%2)"/>
      <w:numFmt w:val="lowerLetter"/>
      <w:start w:val="1"/>
    </w:lvl>
  </w:abstractNum>
  <w:abstractNum w:abstractNumId="51">
    <w:nsid w:val="78DF6A55"/>
    <w:multiLevelType w:val="hybridMultilevel"/>
    <w:lvl w:ilvl="0">
      <w:lvlJc w:val="left"/>
      <w:lvlText w:val="(%1)"/>
      <w:numFmt w:val="lowerLetter"/>
      <w:start w:val="9"/>
    </w:lvl>
    <w:lvl w:ilvl="1">
      <w:lvlJc w:val="left"/>
      <w:lvlText w:val="%2"/>
      <w:numFmt w:val="lowerLetter"/>
      <w:start w:val="1"/>
    </w:lvl>
  </w:abstractNum>
  <w:abstractNum w:abstractNumId="52">
    <w:nsid w:val="39B7AAA2"/>
    <w:multiLevelType w:val="hybridMultilevel"/>
    <w:lvl w:ilvl="0">
      <w:lvlJc w:val="left"/>
      <w:lvlText w:val="(%1)"/>
      <w:numFmt w:val="lowerLetter"/>
      <w:start w:val="4"/>
    </w:lvl>
  </w:abstractNum>
  <w:abstractNum w:abstractNumId="53">
    <w:nsid w:val="2B0D8DBE"/>
    <w:multiLevelType w:val="hybridMultilevel"/>
    <w:lvl w:ilvl="0">
      <w:lvlJc w:val="left"/>
      <w:lvlText w:val="%1"/>
      <w:numFmt w:val="lowerLetter"/>
      <w:start w:val="1"/>
    </w:lvl>
    <w:lvl w:ilvl="1">
      <w:lvlJc w:val="left"/>
      <w:lvlText w:val="(%2)"/>
      <w:numFmt w:val="lowerLetter"/>
      <w:start w:val="1"/>
    </w:lvl>
  </w:abstractNum>
  <w:abstractNum w:abstractNumId="54">
    <w:nsid w:val="6C80EC70"/>
    <w:multiLevelType w:val="hybridMultilevel"/>
    <w:lvl w:ilvl="0">
      <w:lvlJc w:val="left"/>
      <w:lvlText w:val="(%1)"/>
      <w:numFmt w:val="lowerLetter"/>
      <w:start w:val="24"/>
    </w:lvl>
    <w:lvl w:ilvl="1">
      <w:lvlJc w:val="left"/>
      <w:lvlText w:val="%2"/>
      <w:numFmt w:val="lowerLetter"/>
      <w:start w:val="1"/>
    </w:lvl>
  </w:abstractNum>
  <w:abstractNum w:abstractNumId="55">
    <w:nsid w:val="379E21B5"/>
    <w:multiLevelType w:val="hybridMultilevel"/>
    <w:lvl w:ilvl="0">
      <w:lvlJc w:val="left"/>
      <w:lvlText w:val="(%1)"/>
      <w:numFmt w:val="lowerLetter"/>
      <w:start w:val="3"/>
    </w:lvl>
  </w:abstractNum>
  <w:abstractNum w:abstractNumId="56">
    <w:nsid w:val="69E373"/>
    <w:multiLevelType w:val="hybridMultilevel"/>
    <w:lvl w:ilvl="0">
      <w:lvlJc w:val="left"/>
      <w:lvlText w:val="(%1)"/>
      <w:numFmt w:val="lowerLetter"/>
      <w:start w:val="1"/>
    </w:lvl>
  </w:abstractNum>
  <w:abstractNum w:abstractNumId="57">
    <w:nsid w:val="2C27173B"/>
    <w:multiLevelType w:val="hybridMultilevel"/>
    <w:lvl w:ilvl="0">
      <w:lvlJc w:val="left"/>
      <w:lvlText w:val="(%1)"/>
      <w:numFmt w:val="lowerLetter"/>
      <w:start w:val="2"/>
    </w:lvl>
    <w:lvl w:ilvl="1">
      <w:lvlJc w:val="left"/>
      <w:lvlText w:val="(%2)"/>
      <w:numFmt w:val="lowerRoman"/>
      <w:start w:val="1"/>
    </w:lvl>
  </w:abstractNum>
  <w:abstractNum w:abstractNumId="58">
    <w:nsid w:val="4C9B0904"/>
    <w:multiLevelType w:val="hybridMultilevel"/>
    <w:lvl w:ilvl="0">
      <w:lvlJc w:val="left"/>
      <w:lvlText w:val="(%1)"/>
      <w:numFmt w:val="lowerLetter"/>
      <w:start w:val="3"/>
    </w:lvl>
  </w:abstractNum>
  <w:abstractNum w:abstractNumId="59">
    <w:nsid w:val="6AA7B75C"/>
    <w:multiLevelType w:val="hybridMultilevel"/>
    <w:lvl w:ilvl="0">
      <w:lvlJc w:val="left"/>
      <w:lvlText w:val="(%1)"/>
      <w:numFmt w:val="lowerRoman"/>
      <w:start w:val="4"/>
    </w:lvl>
  </w:abstractNum>
  <w:abstractNum w:abstractNumId="60">
    <w:nsid w:val="1DF029D3"/>
    <w:multiLevelType w:val="hybridMultilevel"/>
    <w:lvl w:ilvl="0">
      <w:lvlJc w:val="left"/>
      <w:lvlText w:val="(%1)"/>
      <w:numFmt w:val="lowerLetter"/>
      <w:start w:val="1"/>
    </w:lvl>
  </w:abstractNum>
  <w:abstractNum w:abstractNumId="61">
    <w:nsid w:val="5675FF36"/>
    <w:multiLevelType w:val="hybridMultilevel"/>
    <w:lvl w:ilvl="0">
      <w:lvlJc w:val="left"/>
      <w:lvlText w:val="(%1)"/>
      <w:numFmt w:val="lowerLetter"/>
      <w:start w:val="3"/>
    </w:lvl>
  </w:abstractNum>
  <w:abstractNum w:abstractNumId="62">
    <w:nsid w:val="3DD15094"/>
    <w:multiLevelType w:val="hybridMultilevel"/>
    <w:lvl w:ilvl="0">
      <w:lvlJc w:val="left"/>
      <w:lvlText w:val="(%1)"/>
      <w:numFmt w:val="lowerLetter"/>
      <w:start w:val="1"/>
    </w:lvl>
  </w:abstractNum>
  <w:abstractNum w:abstractNumId="63">
    <w:nsid w:val="3DB012B3"/>
    <w:multiLevelType w:val="hybridMultilevel"/>
    <w:lvl w:ilvl="0">
      <w:lvlJc w:val="left"/>
      <w:lvlText w:val="(%1)"/>
      <w:numFmt w:val="lowerLetter"/>
      <w:start w:val="4"/>
    </w:lvl>
  </w:abstractNum>
  <w:abstractNum w:abstractNumId="64">
    <w:nsid w:val="2708C9AF"/>
    <w:multiLevelType w:val="hybridMultilevel"/>
    <w:lvl w:ilvl="0">
      <w:lvlJc w:val="left"/>
      <w:lvlText w:val="(%1)"/>
      <w:numFmt w:val="lowerLetter"/>
      <w:start w:val="1"/>
    </w:lvl>
  </w:abstractNum>
  <w:abstractNum w:abstractNumId="65">
    <w:nsid w:val="5B25ACE2"/>
    <w:multiLevelType w:val="hybridMultilevel"/>
    <w:lvl w:ilvl="0">
      <w:lvlJc w:val="left"/>
      <w:lvlText w:val="(%1)"/>
      <w:numFmt w:val="decimal"/>
      <w:start w:val="30"/>
    </w:lvl>
    <w:lvl w:ilvl="1">
      <w:lvlJc w:val="left"/>
      <w:lvlText w:val="(%2)"/>
      <w:numFmt w:val="lowerLetter"/>
      <w:start w:val="4"/>
    </w:lvl>
    <w:lvl w:ilvl="2">
      <w:lvlJc w:val="left"/>
      <w:lvlText w:val="(%3)"/>
      <w:numFmt w:val="lowerRoman"/>
      <w:start w:val="2"/>
    </w:lvl>
  </w:abstractNum>
  <w:abstractNum w:abstractNumId="66">
    <w:nsid w:val="175DFCF0"/>
    <w:multiLevelType w:val="hybridMultilevel"/>
    <w:lvl w:ilvl="0">
      <w:lvlJc w:val="left"/>
      <w:lvlText w:val="(%1)"/>
      <w:numFmt w:val="lowerLetter"/>
      <w:start w:val="7"/>
    </w:lvl>
  </w:abstractNum>
  <w:abstractNum w:abstractNumId="67">
    <w:nsid w:val="4F97E3E4"/>
    <w:multiLevelType w:val="hybridMultilevel"/>
    <w:lvl w:ilvl="0">
      <w:lvlJc w:val="left"/>
      <w:lvlText w:val="(%1)"/>
      <w:numFmt w:val="lowerLetter"/>
      <w:start w:val="1"/>
    </w:lvl>
  </w:abstractNum>
  <w:abstractNum w:abstractNumId="68">
    <w:nsid w:val="53B0A9E"/>
    <w:multiLevelType w:val="hybridMultilevel"/>
    <w:lvl w:ilvl="0">
      <w:lvlJc w:val="left"/>
      <w:lvlText w:val="(%1)"/>
      <w:numFmt w:val="lowerLetter"/>
      <w:start w:val="3"/>
    </w:lvl>
  </w:abstractNum>
  <w:abstractNum w:abstractNumId="69">
    <w:nsid w:val="34FD6B4F"/>
    <w:multiLevelType w:val="hybridMultilevel"/>
    <w:lvl w:ilvl="0">
      <w:lvlJc w:val="left"/>
      <w:lvlText w:val="(%1)"/>
      <w:numFmt w:val="lowerLetter"/>
      <w:start w:val="4"/>
    </w:lvl>
  </w:abstractNum>
  <w:abstractNum w:abstractNumId="70">
    <w:nsid w:val="5915FF32"/>
    <w:multiLevelType w:val="hybridMultilevel"/>
    <w:lvl w:ilvl="0">
      <w:lvlJc w:val="left"/>
      <w:lvlText w:val="(%1)"/>
      <w:numFmt w:val="lowerLetter"/>
      <w:start w:val="4"/>
    </w:lvl>
    <w:lvl w:ilvl="1">
      <w:lvlJc w:val="left"/>
      <w:lvlText w:val="(%2)"/>
      <w:numFmt w:val="lowerLetter"/>
      <w:start w:val="2"/>
    </w:lvl>
  </w:abstractNum>
  <w:abstractNum w:abstractNumId="71">
    <w:nsid w:val="56438D15"/>
    <w:multiLevelType w:val="hybridMultilevel"/>
    <w:lvl w:ilvl="0">
      <w:lvlJc w:val="left"/>
      <w:lvlText w:val="(%1)"/>
      <w:numFmt w:val="lowerLetter"/>
      <w:start w:val="1"/>
    </w:lvl>
  </w:abstractNum>
  <w:abstractNum w:abstractNumId="72">
    <w:nsid w:val="519E3149"/>
    <w:multiLevelType w:val="hybridMultilevel"/>
    <w:lvl w:ilvl="0">
      <w:lvlJc w:val="left"/>
      <w:lvlText w:val="(%1)"/>
      <w:numFmt w:val="lowerLetter"/>
      <w:start w:val="2"/>
    </w:lvl>
  </w:abstractNum>
  <w:abstractNum w:abstractNumId="73">
    <w:nsid w:val="2C6E4AFD"/>
    <w:multiLevelType w:val="hybridMultilevel"/>
    <w:lvl w:ilvl="0">
      <w:lvlJc w:val="left"/>
      <w:lvlText w:val="(%1)"/>
      <w:numFmt w:val="lowerLetter"/>
      <w:start w:val="1"/>
    </w:lvl>
  </w:abstractNum>
  <w:abstractNum w:abstractNumId="74">
    <w:nsid w:val="17A1B582"/>
    <w:multiLevelType w:val="hybridMultilevel"/>
    <w:lvl w:ilvl="0">
      <w:lvlJc w:val="left"/>
      <w:lvlText w:val="(%1)"/>
      <w:numFmt w:val="lowerLetter"/>
      <w:start w:val="1"/>
    </w:lvl>
  </w:abstractNum>
  <w:abstractNum w:abstractNumId="75">
    <w:nsid w:val="4DF72E4E"/>
    <w:multiLevelType w:val="hybridMultilevel"/>
    <w:lvl w:ilvl="0">
      <w:lvlJc w:val="left"/>
      <w:lvlText w:val="(%1)"/>
      <w:numFmt w:val="lowerRoman"/>
      <w:start w:val="7"/>
    </w:lvl>
    <w:lvl w:ilvl="1">
      <w:lvlJc w:val="left"/>
      <w:lvlText w:val="(%2)"/>
      <w:numFmt w:val="lowerLetter"/>
      <w:start w:val="2"/>
    </w:lvl>
  </w:abstractNum>
  <w:abstractNum w:abstractNumId="76">
    <w:nsid w:val="5046B5A9"/>
    <w:multiLevelType w:val="hybridMultilevel"/>
    <w:lvl w:ilvl="0">
      <w:lvlJc w:val="left"/>
      <w:lvlText w:val="(%1)"/>
      <w:numFmt w:val="lowerLetter"/>
      <w:start w:val="3"/>
    </w:lvl>
  </w:abstractNum>
  <w:abstractNum w:abstractNumId="77">
    <w:nsid w:val="5D888A08"/>
    <w:multiLevelType w:val="hybridMultilevel"/>
    <w:lvl w:ilvl="0">
      <w:lvlJc w:val="left"/>
      <w:lvlText w:val="(%1)"/>
      <w:numFmt w:val="lowerLetter"/>
      <w:start w:val="1"/>
    </w:lvl>
  </w:abstractNum>
  <w:abstractNum w:abstractNumId="78">
    <w:nsid w:val="2A082C70"/>
    <w:multiLevelType w:val="hybridMultilevel"/>
    <w:lvl w:ilvl="0">
      <w:lvlJc w:val="left"/>
      <w:lvlText w:val="(%1)"/>
      <w:numFmt w:val="lowerLetter"/>
      <w:start w:val="3"/>
    </w:lvl>
  </w:abstractNum>
  <w:abstractNum w:abstractNumId="79">
    <w:nsid w:val="5EC6AFD4"/>
    <w:multiLevelType w:val="hybridMultilevel"/>
    <w:lvl w:ilvl="0">
      <w:lvlJc w:val="left"/>
      <w:lvlText w:val="%1"/>
      <w:numFmt w:val="upperLetter"/>
      <w:start w:val="1"/>
    </w:lvl>
    <w:lvl w:ilvl="1">
      <w:lvlJc w:val="left"/>
      <w:lvlText w:val="(%2)"/>
      <w:numFmt w:val="lowerRoman"/>
      <w:start w:val="1"/>
    </w:lvl>
  </w:abstractNum>
  <w:abstractNum w:abstractNumId="80">
    <w:nsid w:val="19E21BB2"/>
    <w:multiLevelType w:val="hybridMultilevel"/>
    <w:lvl w:ilvl="0">
      <w:lvlJc w:val="left"/>
      <w:lvlText w:val="(%1)"/>
      <w:numFmt w:val="upperLetter"/>
      <w:start w:val="1"/>
    </w:lvl>
    <w:lvl w:ilvl="1">
      <w:lvlJc w:val="left"/>
      <w:lvlText w:val="%2"/>
      <w:numFmt w:val="lowerRoman"/>
      <w:start w:val="1"/>
    </w:lvl>
  </w:abstractNum>
  <w:abstractNum w:abstractNumId="81">
    <w:nsid w:val="75E0858A"/>
    <w:multiLevelType w:val="hybridMultilevel"/>
    <w:lvl w:ilvl="0">
      <w:lvlJc w:val="left"/>
      <w:lvlText w:val="(%1)"/>
      <w:numFmt w:val="lowerRoman"/>
      <w:start w:val="3"/>
    </w:lvl>
  </w:abstractNum>
  <w:abstractNum w:abstractNumId="82">
    <w:nsid w:val="57A61A29"/>
    <w:multiLevelType w:val="hybridMultilevel"/>
    <w:lvl w:ilvl="0">
      <w:lvlJc w:val="left"/>
      <w:lvlText w:val="(%1)"/>
      <w:numFmt w:val="lowerLetter"/>
      <w:start w:val="1"/>
    </w:lvl>
  </w:abstractNum>
  <w:abstractNum w:abstractNumId="83">
    <w:nsid w:val="5399C654"/>
    <w:multiLevelType w:val="hybridMultilevel"/>
    <w:lvl w:ilvl="0">
      <w:lvlJc w:val="left"/>
      <w:lvlText w:val="(%1)"/>
      <w:numFmt w:val="lowerLetter"/>
      <w:start w:val="1"/>
    </w:lvl>
  </w:abstractNum>
  <w:abstractNum w:abstractNumId="84">
    <w:nsid w:val="20EE1348"/>
    <w:multiLevelType w:val="hybridMultilevel"/>
    <w:lvl w:ilvl="0">
      <w:lvlJc w:val="left"/>
      <w:lvlText w:val="(%1)"/>
      <w:numFmt w:val="lowerRoman"/>
      <w:start w:val="3"/>
    </w:lvl>
  </w:abstractNum>
  <w:abstractNum w:abstractNumId="85">
    <w:nsid w:val="4427069A"/>
    <w:multiLevelType w:val="hybridMultilevel"/>
    <w:lvl w:ilvl="0">
      <w:lvlJc w:val="left"/>
      <w:lvlText w:val="(%1)"/>
      <w:numFmt w:val="lowerLetter"/>
      <w:start w:val="1"/>
    </w:lvl>
  </w:abstractNum>
  <w:abstractNum w:abstractNumId="86">
    <w:nsid w:val="B37E80A"/>
    <w:multiLevelType w:val="hybridMultilevel"/>
    <w:lvl w:ilvl="0">
      <w:lvlJc w:val="left"/>
      <w:lvlText w:val="(%1)"/>
      <w:numFmt w:val="lowerLetter"/>
      <w:start w:val="1"/>
    </w:lvl>
  </w:abstractNum>
  <w:abstractNum w:abstractNumId="87">
    <w:nsid w:val="2157F6BC"/>
    <w:multiLevelType w:val="hybridMultilevel"/>
    <w:lvl w:ilvl="0">
      <w:lvlJc w:val="left"/>
      <w:lvlText w:val="%1."/>
      <w:numFmt w:val="decimal"/>
      <w:start w:val="1"/>
    </w:lvl>
  </w:abstractNum>
  <w:abstractNum w:abstractNumId="88">
    <w:nsid w:val="704E1DD5"/>
    <w:multiLevelType w:val="hybridMultilevel"/>
    <w:lvl w:ilvl="0">
      <w:lvlJc w:val="left"/>
      <w:lvlText w:val="%1."/>
      <w:numFmt w:val="decimal"/>
      <w:start w:val="1"/>
    </w:lvl>
  </w:abstractNum>
  <w:abstractNum w:abstractNumId="89">
    <w:nsid w:val="57D2F10E"/>
    <w:multiLevelType w:val="hybridMultilevel"/>
    <w:lvl w:ilvl="0">
      <w:lvlJc w:val="left"/>
      <w:lvlText w:val="%1."/>
      <w:numFmt w:val="decimal"/>
      <w:start w:val="2"/>
    </w:lvl>
  </w:abstractNum>
  <w:abstractNum w:abstractNumId="90">
    <w:nsid w:val="BFFAE18"/>
    <w:multiLevelType w:val="hybridMultilevel"/>
    <w:lvl w:ilvl="0">
      <w:lvlJc w:val="left"/>
      <w:lvlText w:val="%1."/>
      <w:numFmt w:val="decimal"/>
      <w:start w:val="3"/>
    </w:lvl>
  </w:abstractNum>
  <w:abstractNum w:abstractNumId="91">
    <w:nsid w:val="E3E47A8"/>
    <w:multiLevelType w:val="hybridMultilevel"/>
    <w:lvl w:ilvl="0">
      <w:lvlJc w:val="left"/>
      <w:lvlText w:val="%1."/>
      <w:numFmt w:val="decimal"/>
      <w:start w:val="1"/>
    </w:lvl>
  </w:abstractNum>
  <w:abstractNum w:abstractNumId="92">
    <w:nsid w:val="2E48F044"/>
    <w:multiLevelType w:val="hybridMultilevel"/>
    <w:lvl w:ilvl="0">
      <w:lvlJc w:val="left"/>
      <w:lvlText w:val="%1."/>
      <w:numFmt w:val="decimal"/>
      <w:start w:val="6"/>
    </w:lvl>
  </w:abstractNum>
  <w:abstractNum w:abstractNumId="93">
    <w:nsid w:val="49D0FEAC"/>
    <w:multiLevelType w:val="hybridMultilevel"/>
    <w:lvl w:ilvl="0">
      <w:lvlJc w:val="left"/>
      <w:lvlText w:val="%1."/>
      <w:numFmt w:val="decimal"/>
      <w:start w:val="1"/>
    </w:lvl>
  </w:abstractNum>
  <w:abstractNum w:abstractNumId="94">
    <w:nsid w:val="4BEE5A5B"/>
    <w:multiLevelType w:val="hybridMultilevel"/>
    <w:lvl w:ilvl="0">
      <w:lvlJc w:val="left"/>
      <w:lvlText w:val="%1."/>
      <w:numFmt w:val="decimal"/>
      <w:start w:val="1"/>
    </w:lvl>
  </w:abstractNum>
  <w:abstractNum w:abstractNumId="95">
    <w:nsid w:val="5551B9F3"/>
    <w:multiLevelType w:val="hybridMultilevel"/>
    <w:lvl w:ilvl="0">
      <w:lvlJc w:val="left"/>
      <w:lvlText w:val="(%1)"/>
      <w:numFmt w:val="lowerRoman"/>
      <w:start w:val="1"/>
    </w:lvl>
  </w:abstractNum>
  <w:abstractNum w:abstractNumId="96">
    <w:nsid w:val="24F6AB8E"/>
    <w:multiLevelType w:val="hybridMultilevel"/>
    <w:lvl w:ilvl="0">
      <w:lvlJc w:val="left"/>
      <w:lvlText w:val="(%1)"/>
      <w:numFmt w:val="lowerLetter"/>
      <w:start w:val="1"/>
    </w:lvl>
  </w:abstractNum>
  <w:abstractNum w:abstractNumId="97">
    <w:nsid w:val="634C574C"/>
    <w:multiLevelType w:val="hybridMultilevel"/>
    <w:lvl w:ilvl="0">
      <w:lvlJc w:val="left"/>
      <w:lvlText w:val="(%1)"/>
      <w:numFmt w:val="lowerRoman"/>
      <w:start w:val="1"/>
    </w:lvl>
  </w:abstractNum>
  <w:abstractNum w:abstractNumId="98">
    <w:nsid w:val="24E99DD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2"/>
    </w:lvl>
  </w:abstractNum>
  <w:abstractNum w:abstractNumId="99">
    <w:nsid w:val="2A31B62D"/>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00">
    <w:nsid w:val="1849C29B"/>
    <w:multiLevelType w:val="hybridMultilevel"/>
    <w:lvl w:ilvl="0">
      <w:lvlJc w:val="left"/>
      <w:lvlText w:val="(%1)"/>
      <w:numFmt w:val="lowerRoman"/>
      <w:start w:val="3"/>
    </w:lvl>
  </w:abstractNum>
  <w:abstractNum w:abstractNumId="101">
    <w:nsid w:val="7DFF9D09"/>
    <w:multiLevelType w:val="hybridMultilevel"/>
    <w:lvl w:ilvl="0">
      <w:lvlJc w:val="left"/>
      <w:lvlText w:val="(%1)"/>
      <w:numFmt w:val="lowerLetter"/>
      <w:start w:val="4"/>
    </w:lvl>
  </w:abstractNum>
  <w:abstractNum w:abstractNumId="102">
    <w:nsid w:val="754342"/>
    <w:multiLevelType w:val="hybridMultilevel"/>
    <w:lvl w:ilvl="0">
      <w:lvlJc w:val="left"/>
      <w:lvlText w:val="%1"/>
      <w:numFmt w:val="lowerLetter"/>
      <w:start w:val="1"/>
    </w:lvl>
    <w:lvl w:ilvl="1">
      <w:lvlJc w:val="left"/>
      <w:lvlText w:val="(%2)"/>
      <w:numFmt w:val="lowerRoman"/>
      <w:start w:val="1"/>
    </w:lvl>
  </w:abstractNum>
  <w:abstractNum w:abstractNumId="103">
    <w:nsid w:val="69E7F3E5"/>
    <w:multiLevelType w:val="hybridMultilevel"/>
    <w:lvl w:ilvl="0">
      <w:lvlJc w:val="left"/>
      <w:lvlText w:val="(%1)"/>
      <w:numFmt w:val="lowerLetter"/>
      <w:start w:val="5"/>
    </w:lvl>
    <w:lvl w:ilvl="1">
      <w:lvlJc w:val="left"/>
      <w:lvlText w:val="(%2)"/>
      <w:numFmt w:val="lowerRoman"/>
      <w:start w:val="1"/>
    </w:lvl>
  </w:abstractNum>
  <w:abstractNum w:abstractNumId="104">
    <w:nsid w:val="2A6DE806"/>
    <w:multiLevelType w:val="hybridMultilevel"/>
    <w:lvl w:ilvl="0">
      <w:lvlJc w:val="left"/>
      <w:lvlText w:val="(%1)"/>
      <w:numFmt w:val="lowerRoman"/>
      <w:start w:val="6"/>
    </w:lvl>
  </w:abstractNum>
  <w:abstractNum w:abstractNumId="105">
    <w:nsid w:val="1816F8C4"/>
    <w:multiLevelType w:val="hybridMultilevel"/>
    <w:lvl w:ilvl="0">
      <w:lvlJc w:val="left"/>
      <w:lvlText w:val="%1"/>
      <w:numFmt w:val="decimal"/>
      <w:start w:val="1"/>
    </w:lvl>
    <w:lvl w:ilvl="1">
      <w:lvlJc w:val="left"/>
      <w:lvlText w:val="(%2)"/>
      <w:numFmt w:val="lowerRoman"/>
      <w:start w:val="14"/>
    </w:lvl>
  </w:abstractNum>
  <w:abstractNum w:abstractNumId="106">
    <w:nsid w:val="37DF2233"/>
    <w:multiLevelType w:val="hybridMultilevel"/>
    <w:lvl w:ilvl="0">
      <w:lvlJc w:val="left"/>
      <w:lvlText w:val="(%1)"/>
      <w:numFmt w:val="decimal"/>
      <w:start w:val="10"/>
    </w:lvl>
    <w:lvl w:ilvl="1">
      <w:lvlJc w:val="left"/>
      <w:lvlText w:val="%2"/>
      <w:numFmt w:val="lowerRoman"/>
      <w:start w:val="1"/>
    </w:lvl>
  </w:abstractNum>
  <w:abstractNum w:abstractNumId="107">
    <w:nsid w:val="7AB49DAF"/>
    <w:multiLevelType w:val="hybridMultilevel"/>
    <w:lvl w:ilvl="0">
      <w:lvlJc w:val="left"/>
      <w:lvlText w:val="%1"/>
      <w:numFmt w:val="lowerLetter"/>
      <w:start w:val="1"/>
    </w:lvl>
    <w:lvl w:ilvl="1">
      <w:lvlJc w:val="left"/>
      <w:lvlText w:val="(%2)"/>
      <w:numFmt w:val="lowerLetter"/>
      <w:start w:val="6"/>
    </w:lvl>
  </w:abstractNum>
  <w:abstractNum w:abstractNumId="108">
    <w:nsid w:val="759F82CD"/>
    <w:multiLevelType w:val="hybridMultilevel"/>
    <w:lvl w:ilvl="0">
      <w:lvlJc w:val="left"/>
      <w:lvlText w:val="(%1)"/>
      <w:numFmt w:val="lowerLetter"/>
      <w:start w:val="25"/>
    </w:lvl>
    <w:lvl w:ilvl="1">
      <w:lvlJc w:val="left"/>
      <w:lvlText w:val="(%2)"/>
      <w:numFmt w:val="lowerLetter"/>
      <w:start w:val="7"/>
    </w:lvl>
  </w:abstractNum>
  <w:abstractNum w:abstractNumId="109">
    <w:nsid w:val="61E74EA3"/>
    <w:multiLevelType w:val="hybridMultilevel"/>
    <w:lvl w:ilvl="0">
      <w:lvlJc w:val="left"/>
      <w:lvlText w:val="(%1)"/>
      <w:numFmt w:val="lowerLetter"/>
      <w:start w:val="1"/>
    </w:lvl>
  </w:abstractNum>
  <w:abstractNum w:abstractNumId="110">
    <w:nsid w:val="597B4D84"/>
    <w:multiLevelType w:val="hybridMultilevel"/>
    <w:lvl w:ilvl="0">
      <w:lvlJc w:val="left"/>
      <w:lvlText w:val="(%1)"/>
      <w:numFmt w:val="lowerLetter"/>
      <w:start w:val="1"/>
    </w:lvl>
  </w:abstractNum>
  <w:abstractNum w:abstractNumId="111">
    <w:nsid w:val="F819E7F"/>
    <w:multiLevelType w:val="hybridMultilevel"/>
    <w:lvl w:ilvl="0">
      <w:lvlJc w:val="left"/>
      <w:lvlText w:val="(%1)"/>
      <w:numFmt w:val="lowerRoman"/>
      <w:start w:val="1"/>
    </w:lvl>
  </w:abstractNum>
  <w:abstractNum w:abstractNumId="112">
    <w:nsid w:val="57C7D42D"/>
    <w:multiLevelType w:val="hybridMultilevel"/>
    <w:lvl w:ilvl="0">
      <w:lvlJc w:val="left"/>
      <w:lvlText w:val="(%1)"/>
      <w:numFmt w:val="lowerLetter"/>
      <w:start w:val="2"/>
    </w:lvl>
  </w:abstractNum>
  <w:abstractNum w:abstractNumId="113">
    <w:nsid w:val="312167AD"/>
    <w:multiLevelType w:val="hybridMultilevel"/>
    <w:lvl w:ilvl="0">
      <w:lvlJc w:val="left"/>
      <w:lvlText w:val="(%1)"/>
      <w:numFmt w:val="lowerLetter"/>
      <w:start w:val="1"/>
    </w:lvl>
  </w:abstractNum>
  <w:abstractNum w:abstractNumId="114">
    <w:nsid w:val="631B64D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15">
    <w:nsid w:val="78B5E776"/>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9"/>
    </w:lvl>
  </w:abstractNum>
  <w:abstractNum w:abstractNumId="116">
    <w:nsid w:val="75486E47"/>
    <w:multiLevelType w:val="hybridMultilevel"/>
    <w:lvl w:ilvl="0">
      <w:lvlJc w:val="left"/>
      <w:lvlText w:val="(%1)"/>
      <w:numFmt w:val="lowerRoman"/>
      <w:start w:val="2"/>
    </w:lvl>
  </w:abstractNum>
  <w:abstractNum w:abstractNumId="117">
    <w:nsid w:val="6E534CDE"/>
    <w:multiLevelType w:val="hybridMultilevel"/>
    <w:lvl w:ilvl="0">
      <w:lvlJc w:val="left"/>
      <w:lvlText w:val="(%1)"/>
      <w:numFmt w:val="lowerRoman"/>
      <w:start w:val="9"/>
    </w:lvl>
  </w:abstractNum>
  <w:abstractNum w:abstractNumId="118">
    <w:nsid w:val="1A0DDE32"/>
    <w:multiLevelType w:val="hybridMultilevel"/>
    <w:lvl w:ilvl="0">
      <w:lvlJc w:val="left"/>
      <w:lvlText w:val="(%1)"/>
      <w:numFmt w:val="lowerLetter"/>
      <w:start w:val="1"/>
    </w:lvl>
  </w:abstractNum>
  <w:abstractNum w:abstractNumId="119">
    <w:nsid w:val="65968C1C"/>
    <w:multiLevelType w:val="hybridMultilevel"/>
    <w:lvl w:ilvl="0">
      <w:lvlJc w:val="left"/>
      <w:lvlText w:val="(%1)"/>
      <w:numFmt w:val="lowerLetter"/>
      <w:start w:val="2"/>
    </w:lvl>
  </w:abstractNum>
  <w:abstractNum w:abstractNumId="120">
    <w:nsid w:val="46263DEC"/>
    <w:multiLevelType w:val="hybridMultilevel"/>
    <w:lvl w:ilvl="0">
      <w:lvlJc w:val="left"/>
      <w:lvlText w:val="(%1)"/>
      <w:numFmt w:val="lowerLetter"/>
      <w:start w:val="1"/>
    </w:lvl>
  </w:abstractNum>
  <w:abstractNum w:abstractNumId="121">
    <w:nsid w:val="260D8C4A"/>
    <w:multiLevelType w:val="hybridMultilevel"/>
    <w:lvl w:ilvl="0">
      <w:lvlJc w:val="left"/>
      <w:lvlText w:val="(%1)"/>
      <w:numFmt w:val="decimal"/>
      <w:start w:val="12"/>
    </w:lvl>
  </w:abstractNum>
  <w:abstractNum w:abstractNumId="122">
    <w:nsid w:val="73D4D3C4"/>
    <w:multiLevelType w:val="hybridMultilevel"/>
    <w:lvl w:ilvl="0">
      <w:lvlJc w:val="left"/>
      <w:lvlText w:val="(%1)"/>
      <w:numFmt w:val="lowerLetter"/>
      <w:start w:val="1"/>
    </w:lvl>
  </w:abstractNum>
  <w:abstractNum w:abstractNumId="123">
    <w:nsid w:val="746F2E30"/>
    <w:multiLevelType w:val="hybridMultilevel"/>
    <w:lvl w:ilvl="0">
      <w:lvlJc w:val="left"/>
      <w:lvlText w:val="(%1)"/>
      <w:numFmt w:val="lowerLetter"/>
      <w:start w:val="2"/>
    </w:lvl>
  </w:abstractNum>
  <w:abstractNum w:abstractNumId="124">
    <w:nsid w:val="6FDE8AF6"/>
    <w:multiLevelType w:val="hybridMultilevel"/>
    <w:lvl w:ilvl="0">
      <w:lvlJc w:val="left"/>
      <w:lvlText w:val="(%1)"/>
      <w:numFmt w:val="lowerLetter"/>
      <w:start w:val="1"/>
    </w:lvl>
  </w:abstractNum>
  <w:abstractNum w:abstractNumId="125">
    <w:nsid w:val="3FC32E20"/>
    <w:multiLevelType w:val="hybridMultilevel"/>
    <w:lvl w:ilvl="0">
      <w:lvlJc w:val="left"/>
      <w:lvlText w:val="(%1)"/>
      <w:numFmt w:val="lowerLetter"/>
      <w:start w:val="2"/>
    </w:lvl>
  </w:abstractNum>
  <w:abstractNum w:abstractNumId="126">
    <w:nsid w:val="49C0E823"/>
    <w:multiLevelType w:val="hybridMultilevel"/>
    <w:lvl w:ilvl="0">
      <w:lvlJc w:val="left"/>
      <w:lvlText w:val="(%1)"/>
      <w:numFmt w:val="lowerLetter"/>
      <w:start w:val="1"/>
    </w:lvl>
  </w:abstractNum>
  <w:abstractNum w:abstractNumId="127">
    <w:nsid w:val="14D53685"/>
    <w:multiLevelType w:val="hybridMultilevel"/>
    <w:lvl w:ilvl="0">
      <w:lvlJc w:val="left"/>
      <w:lvlText w:val="(%1)"/>
      <w:numFmt w:val="lowerLetter"/>
      <w:start w:val="1"/>
    </w:lvl>
  </w:abstractNum>
  <w:abstractNum w:abstractNumId="128">
    <w:nsid w:val="230F856C"/>
    <w:multiLevelType w:val="hybridMultilevel"/>
    <w:lvl w:ilvl="0">
      <w:lvlJc w:val="left"/>
      <w:lvlText w:val="(%1)"/>
      <w:numFmt w:val="lowerLetter"/>
      <w:start w:val="2"/>
    </w:lvl>
  </w:abstractNum>
  <w:abstractNum w:abstractNumId="129">
    <w:nsid w:val="6EAA85FB"/>
    <w:multiLevelType w:val="hybridMultilevel"/>
    <w:lvl w:ilvl="0">
      <w:lvlJc w:val="left"/>
      <w:lvlText w:val="(%1)"/>
      <w:numFmt w:val="lowerLetter"/>
      <w:start w:val="1"/>
    </w:lvl>
  </w:abstractNum>
  <w:abstractNum w:abstractNumId="130">
    <w:nsid w:val="3F06ECB2"/>
    <w:multiLevelType w:val="hybridMultilevel"/>
    <w:lvl w:ilvl="0">
      <w:lvlJc w:val="left"/>
      <w:lvlText w:val="%1"/>
      <w:numFmt w:val="lowerLetter"/>
      <w:start w:val="1"/>
    </w:lvl>
    <w:lvl w:ilvl="1">
      <w:lvlJc w:val="left"/>
      <w:lvlText w:val="(%2)"/>
      <w:numFmt w:val="lowerLetter"/>
      <w:start w:val="1"/>
    </w:lvl>
  </w:abstractNum>
  <w:abstractNum w:abstractNumId="131">
    <w:nsid w:val="3B594807"/>
    <w:multiLevelType w:val="hybridMultilevel"/>
    <w:lvl w:ilvl="0">
      <w:lvlJc w:val="left"/>
      <w:lvlText w:val="(%1)"/>
      <w:numFmt w:val="lowerLetter"/>
      <w:start w:val="35"/>
    </w:lvl>
    <w:lvl w:ilvl="1">
      <w:lvlJc w:val="left"/>
      <w:lvlText w:val="(%2)"/>
      <w:numFmt w:val="lowerLetter"/>
      <w:start w:val="3"/>
    </w:lvl>
  </w:abstractNum>
  <w:abstractNum w:abstractNumId="132">
    <w:nsid w:val="6CAA2304"/>
    <w:multiLevelType w:val="hybridMultilevel"/>
    <w:lvl w:ilvl="0">
      <w:lvlJc w:val="left"/>
      <w:lvlText w:val="(%1)"/>
      <w:numFmt w:val="lowerLetter"/>
      <w:start w:val="1"/>
    </w:lvl>
  </w:abstractNum>
  <w:abstractNum w:abstractNumId="133">
    <w:nsid w:val="3F7C2FF4"/>
    <w:multiLevelType w:val="hybridMultilevel"/>
    <w:lvl w:ilvl="0">
      <w:lvlJc w:val="left"/>
      <w:lvlText w:val="(%1)"/>
      <w:numFmt w:val="lowerLetter"/>
      <w:start w:val="2"/>
    </w:lvl>
  </w:abstractNum>
  <w:abstractNum w:abstractNumId="134">
    <w:nsid w:val="25413BEC"/>
    <w:multiLevelType w:val="hybridMultilevel"/>
    <w:lvl w:ilvl="0">
      <w:lvlJc w:val="left"/>
      <w:lvlText w:val="(%1)"/>
      <w:numFmt w:val="lowerLetter"/>
      <w:start w:val="1"/>
    </w:lvl>
  </w:abstractNum>
  <w:abstractNum w:abstractNumId="135">
    <w:nsid w:val="17180B0B"/>
    <w:multiLevelType w:val="hybridMultilevel"/>
    <w:lvl w:ilvl="0">
      <w:lvlJc w:val="left"/>
      <w:lvlText w:val="(%1)"/>
      <w:numFmt w:val="lowerLetter"/>
      <w:start w:val="1"/>
    </w:lvl>
  </w:abstractNum>
  <w:abstractNum w:abstractNumId="136">
    <w:nsid w:val="579328B9"/>
    <w:multiLevelType w:val="hybridMultilevel"/>
    <w:lvl w:ilvl="0">
      <w:lvlJc w:val="left"/>
      <w:lvlText w:val="%1"/>
      <w:numFmt w:val="lowerLetter"/>
      <w:start w:val="1"/>
    </w:lvl>
    <w:lvl w:ilvl="1">
      <w:lvlJc w:val="left"/>
      <w:lvlText w:val="(%2)"/>
      <w:numFmt w:val="lowerLetter"/>
      <w:start w:val="3"/>
    </w:lvl>
  </w:abstractNum>
  <w:abstractNum w:abstractNumId="137">
    <w:nsid w:val="5D205E20"/>
    <w:multiLevelType w:val="hybridMultilevel"/>
    <w:lvl w:ilvl="0">
      <w:lvlJc w:val="left"/>
      <w:lvlText w:val="(%1)"/>
      <w:numFmt w:val="lowerLetter"/>
      <w:start w:val="35"/>
    </w:lvl>
    <w:lvl w:ilvl="1">
      <w:lvlJc w:val="left"/>
      <w:lvlText w:val="(%2)"/>
      <w:numFmt w:val="lowerLetter"/>
      <w:start w:val="5"/>
    </w:lvl>
  </w:abstractNum>
  <w:abstractNum w:abstractNumId="138">
    <w:nsid w:val="11CCA8BA"/>
    <w:multiLevelType w:val="hybridMultilevel"/>
    <w:lvl w:ilvl="0">
      <w:lvlJc w:val="left"/>
      <w:lvlText w:val="(%1)"/>
      <w:numFmt w:val="lowerLetter"/>
      <w:start w:val="1"/>
    </w:lvl>
  </w:abstractNum>
  <w:abstractNum w:abstractNumId="139">
    <w:nsid w:val="4D32AB86"/>
    <w:multiLevelType w:val="hybridMultilevel"/>
    <w:lvl w:ilvl="0">
      <w:lvlJc w:val="left"/>
      <w:lvlText w:val="%1"/>
      <w:numFmt w:val="decimal"/>
      <w:start w:val="1"/>
    </w:lvl>
    <w:lvl w:ilvl="1">
      <w:lvlJc w:val="left"/>
      <w:lvlText w:val="(%2)"/>
      <w:numFmt w:val="lowerLetter"/>
      <w:start w:val="2"/>
    </w:lvl>
  </w:abstractNum>
  <w:abstractNum w:abstractNumId="140">
    <w:nsid w:val="3F07ACC3"/>
    <w:multiLevelType w:val="hybridMultilevel"/>
    <w:lvl w:ilvl="0">
      <w:lvlJc w:val="left"/>
      <w:lvlText w:val="(%1)"/>
      <w:numFmt w:val="decimal"/>
      <w:start w:val="30"/>
    </w:lvl>
    <w:lvl w:ilvl="1">
      <w:lvlJc w:val="left"/>
      <w:lvlText w:val="%2"/>
      <w:numFmt w:val="lowerLetter"/>
      <w:start w:val="1"/>
    </w:lvl>
  </w:abstractNum>
  <w:abstractNum w:abstractNumId="141">
    <w:nsid w:val="6B47F63E"/>
    <w:multiLevelType w:val="hybridMultilevel"/>
    <w:lvl w:ilvl="0">
      <w:lvlJc w:val="left"/>
      <w:lvlText w:val="%1"/>
      <w:numFmt w:val="lowerLetter"/>
      <w:start w:val="1"/>
    </w:lvl>
    <w:lvl w:ilvl="1">
      <w:lvlJc w:val="left"/>
      <w:lvlText w:val="(%2)"/>
      <w:numFmt w:val="lowerLetter"/>
      <w:start w:val="1"/>
    </w:lvl>
  </w:abstractNum>
  <w:abstractNum w:abstractNumId="142">
    <w:nsid w:val="5CB44A05"/>
    <w:multiLevelType w:val="hybridMultilevel"/>
    <w:lvl w:ilvl="0">
      <w:lvlJc w:val="left"/>
      <w:lvlText w:val="(%1)"/>
      <w:numFmt w:val="lowerLetter"/>
      <w:start w:val="9"/>
    </w:lvl>
    <w:lvl w:ilvl="1">
      <w:lvlJc w:val="left"/>
      <w:lvlText w:val="%2"/>
      <w:numFmt w:val="lowerLetter"/>
      <w:start w:val="1"/>
    </w:lvl>
  </w:abstractNum>
  <w:abstractNum w:abstractNumId="143">
    <w:nsid w:val="16CF80F1"/>
    <w:multiLevelType w:val="hybridMultilevel"/>
    <w:lvl w:ilvl="0">
      <w:lvlJc w:val="left"/>
      <w:lvlText w:val="(%1)"/>
      <w:numFmt w:val="lowerLetter"/>
      <w:start w:val="2"/>
    </w:lvl>
  </w:abstractNum>
  <w:abstractNum w:abstractNumId="144">
    <w:nsid w:val="1C695DEC"/>
    <w:multiLevelType w:val="hybridMultilevel"/>
    <w:lvl w:ilvl="0">
      <w:lvlJc w:val="left"/>
      <w:lvlText w:val="(%1)"/>
      <w:numFmt w:val="lowerRoman"/>
      <w:start w:val="2"/>
    </w:lvl>
  </w:abstractNum>
  <w:abstractNum w:abstractNumId="145">
    <w:nsid w:val="3FCFAED9"/>
    <w:multiLevelType w:val="hybridMultilevel"/>
    <w:lvl w:ilvl="0">
      <w:lvlJc w:val="left"/>
      <w:lvlText w:val="%1"/>
      <w:numFmt w:val="lowerLetter"/>
      <w:start w:val="1"/>
    </w:lvl>
    <w:lvl w:ilvl="1">
      <w:lvlJc w:val="left"/>
      <w:lvlText w:val="(%2)"/>
      <w:numFmt w:val="lowerLetter"/>
      <w:start w:val="1"/>
    </w:lvl>
  </w:abstractNum>
  <w:abstractNum w:abstractNumId="146">
    <w:nsid w:val="F856867"/>
    <w:multiLevelType w:val="hybridMultilevel"/>
    <w:lvl w:ilvl="0">
      <w:lvlJc w:val="left"/>
      <w:lvlText w:val="(%1)"/>
      <w:numFmt w:val="lowerLetter"/>
      <w:start w:val="35"/>
    </w:lvl>
    <w:lvl w:ilvl="1">
      <w:lvlJc w:val="left"/>
      <w:lvlText w:val="(%2)"/>
      <w:numFmt w:val="lowerLetter"/>
      <w:start w:val="3"/>
    </w:lvl>
  </w:abstractNum>
  <w:abstractNum w:abstractNumId="147">
    <w:nsid w:val="11B1CC3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48">
    <w:nsid w:val="2E22FBB7"/>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49">
    <w:nsid w:val="2993469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50">
    <w:nsid w:val="77485850"/>
    <w:multiLevelType w:val="hybridMultilevel"/>
    <w:lvl w:ilvl="0">
      <w:lvlJc w:val="left"/>
      <w:lvlText w:val="(%1)"/>
      <w:numFmt w:val="lowerLetter"/>
      <w:start w:val="2"/>
    </w:lvl>
  </w:abstractNum>
  <w:abstractNum w:abstractNumId="151">
    <w:nsid w:val="744939A3"/>
    <w:multiLevelType w:val="hybridMultilevel"/>
    <w:lvl w:ilvl="0">
      <w:lvlJc w:val="left"/>
      <w:lvlText w:val="(%1)"/>
      <w:numFmt w:val="lowerLetter"/>
      <w:start w:val="2"/>
    </w:lvl>
    <w:lvl w:ilvl="1">
      <w:lvlJc w:val="left"/>
      <w:lvlText w:val="(%2)"/>
      <w:numFmt w:val="lowerLetter"/>
      <w:start w:val="6"/>
    </w:lvl>
  </w:abstractNum>
  <w:abstractNum w:abstractNumId="152">
    <w:nsid w:val="4FA0D2E3"/>
    <w:multiLevelType w:val="hybridMultilevel"/>
    <w:lvl w:ilvl="0">
      <w:lvlJc w:val="left"/>
      <w:lvlText w:val="(%1)"/>
      <w:numFmt w:val="lowerLetter"/>
      <w:start w:val="1"/>
    </w:lvl>
  </w:abstractNum>
  <w:abstractNum w:abstractNumId="153">
    <w:nsid w:val="6B1D2C14"/>
    <w:multiLevelType w:val="hybridMultilevel"/>
    <w:lvl w:ilvl="0">
      <w:lvlJc w:val="left"/>
      <w:lvlText w:val="(%1)"/>
      <w:numFmt w:val="lowerLetter"/>
      <w:start w:val="2"/>
    </w:lvl>
  </w:abstractNum>
  <w:abstractNum w:abstractNumId="154">
    <w:nsid w:val="68B867D3"/>
    <w:multiLevelType w:val="hybridMultilevel"/>
    <w:lvl w:ilvl="0">
      <w:lvlJc w:val="left"/>
      <w:lvlText w:val="(%1)"/>
      <w:numFmt w:val="lowerLetter"/>
      <w:start w:val="6"/>
    </w:lvl>
  </w:abstractNum>
  <w:abstractNum w:abstractNumId="155">
    <w:nsid w:val="3F7F5DD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9"/>
    </w:lvl>
  </w:abstractNum>
  <w:abstractNum w:abstractNumId="156">
    <w:nsid w:val="2AE05A34"/>
    <w:multiLevelType w:val="hybridMultilevel"/>
    <w:lvl w:ilvl="0">
      <w:lvlJc w:val="left"/>
      <w:lvlText w:val="(%1)"/>
      <w:numFmt w:val="upperLetter"/>
      <w:start w:val="3"/>
    </w:lvl>
    <w:lvl w:ilvl="1">
      <w:lvlJc w:val="left"/>
      <w:lvlText w:val="%2."/>
      <w:numFmt w:val="decimal"/>
      <w:start w:val="3"/>
    </w:lvl>
    <w:lvl w:ilvl="2">
      <w:lvlJc w:val="left"/>
      <w:lvlText w:val="(%3)"/>
      <w:numFmt w:val="lowerLetter"/>
      <w:start w:val="11"/>
    </w:lvl>
  </w:abstractNum>
  <w:abstractNum w:abstractNumId="157">
    <w:nsid w:val="32794FF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58">
    <w:nsid w:val="5454945E"/>
    <w:multiLevelType w:val="hybridMultilevel"/>
    <w:lvl w:ilvl="0">
      <w:lvlJc w:val="left"/>
      <w:lvlText w:val="%1"/>
      <w:numFmt w:val="decimal"/>
      <w:start w:val="1"/>
    </w:lvl>
    <w:lvl w:ilvl="1">
      <w:lvlJc w:val="left"/>
      <w:lvlText w:val="(%2)"/>
      <w:numFmt w:val="lowerLetter"/>
      <w:start w:val="3"/>
    </w:lvl>
  </w:abstractNum>
  <w:abstractNum w:abstractNumId="159">
    <w:nsid w:val="4DEFDFA0"/>
    <w:multiLevelType w:val="hybridMultilevel"/>
    <w:lvl w:ilvl="0">
      <w:lvlJc w:val="left"/>
      <w:lvlText w:val="%1."/>
      <w:numFmt w:val="decimal"/>
      <w:start w:val="5"/>
    </w:lvl>
    <w:lvl w:ilvl="1">
      <w:lvlJc w:val="left"/>
      <w:lvlText w:val="%2"/>
      <w:numFmt w:val="lowerLetter"/>
      <w:start w:val="1"/>
    </w:lvl>
  </w:abstractNum>
  <w:abstractNum w:abstractNumId="160">
    <w:nsid w:val="2123D5F2"/>
    <w:multiLevelType w:val="hybridMultilevel"/>
    <w:lvl w:ilvl="0">
      <w:lvlJc w:val="left"/>
      <w:lvlText w:val="%1."/>
      <w:numFmt w:val="decimal"/>
      <w:start w:val="6"/>
    </w:lvl>
    <w:lvl w:ilvl="1">
      <w:lvlJc w:val="left"/>
      <w:lvlText w:val="(%2)"/>
      <w:numFmt w:val="lowerLetter"/>
      <w:start w:val="1"/>
    </w:lvl>
  </w:abstractNum>
  <w:abstractNum w:abstractNumId="161">
    <w:nsid w:val="135B8110"/>
    <w:multiLevelType w:val="hybridMultilevel"/>
    <w:lvl w:ilvl="0">
      <w:lvlJc w:val="left"/>
      <w:lvlText w:val="(%1)"/>
      <w:numFmt w:val="upperLetter"/>
      <w:start w:val="3"/>
    </w:lvl>
    <w:lvl w:ilvl="1">
      <w:lvlJc w:val="left"/>
      <w:lvlText w:val="(%2)"/>
      <w:numFmt w:val="lowerLetter"/>
      <w:start w:val="2"/>
    </w:lvl>
  </w:abstractNum>
  <w:abstractNum w:abstractNumId="162">
    <w:nsid w:val="94927A8"/>
    <w:multiLevelType w:val="hybridMultilevel"/>
    <w:lvl w:ilvl="0">
      <w:lvlJc w:val="left"/>
      <w:lvlText w:val="(%1)"/>
      <w:numFmt w:val="lowerLetter"/>
      <w:start w:val="5"/>
    </w:lvl>
  </w:abstractNum>
  <w:abstractNum w:abstractNumId="163">
    <w:nsid w:val="DCDF8F6"/>
    <w:multiLevelType w:val="hybridMultilevel"/>
    <w:lvl w:ilvl="0">
      <w:lvlJc w:val="left"/>
      <w:lvlText w:val="(%1)"/>
      <w:numFmt w:val="lowerRoman"/>
      <w:start w:val="2"/>
    </w:lvl>
  </w:abstractNum>
  <w:abstractNum w:abstractNumId="164">
    <w:nsid w:val="52D7B105"/>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165">
    <w:nsid w:val="2E8A6394"/>
    <w:multiLevelType w:val="hybridMultilevel"/>
    <w:lvl w:ilvl="0">
      <w:lvlJc w:val="left"/>
      <w:lvlText w:val="(%1)"/>
      <w:numFmt w:val="decimal"/>
      <w:start w:val="2"/>
    </w:lvl>
    <w:lvl w:ilvl="1">
      <w:lvlJc w:val="left"/>
      <w:lvlText w:val="%2."/>
      <w:numFmt w:val="decimal"/>
      <w:start w:val="9"/>
    </w:lvl>
    <w:lvl w:ilvl="2">
      <w:lvlJc w:val="left"/>
      <w:lvlText w:val="(%3)"/>
      <w:numFmt w:val="lowerLetter"/>
      <w:start w:val="2"/>
    </w:lvl>
    <w:lvl w:ilvl="3">
      <w:lvlJc w:val="left"/>
      <w:lvlText w:val="%4."/>
      <w:numFmt w:val="lowerRoman"/>
      <w:start w:val="1"/>
    </w:lvl>
  </w:abstractNum>
  <w:abstractNum w:abstractNumId="166">
    <w:nsid w:val="24E604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7">
    <w:nsid w:val="2A6AD9BE"/>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68">
    <w:nsid w:val="BAAC1B4"/>
    <w:multiLevelType w:val="hybridMultilevel"/>
    <w:lvl w:ilvl="0">
      <w:lvlJc w:val="left"/>
      <w:lvlText w:val="%1."/>
      <w:numFmt w:val="lowerRoman"/>
      <w:start w:val="2"/>
    </w:lvl>
  </w:abstractNum>
  <w:abstractNum w:abstractNumId="169">
    <w:nsid w:val="36B2ACBC"/>
    <w:multiLevelType w:val="hybridMultilevel"/>
    <w:lvl w:ilvl="0">
      <w:lvlJc w:val="left"/>
      <w:lvlText w:val="(%1)"/>
      <w:numFmt w:val="lowerLetter"/>
      <w:start w:val="2"/>
    </w:lvl>
  </w:abstractNum>
  <w:abstractNum w:abstractNumId="170">
    <w:nsid w:val="779D8544"/>
    <w:multiLevelType w:val="hybridMultilevel"/>
    <w:lvl w:ilvl="0">
      <w:lvlJc w:val="left"/>
      <w:lvlText w:val="(%1)"/>
      <w:numFmt w:val="lowerLetter"/>
      <w:start w:val="5"/>
    </w:lvl>
  </w:abstractNum>
  <w:abstractNum w:abstractNumId="171">
    <w:nsid w:val="4AB26E78"/>
    <w:multiLevelType w:val="hybridMultilevel"/>
    <w:lvl w:ilvl="0">
      <w:lvlJc w:val="left"/>
      <w:lvlText w:val="•"/>
      <w:numFmt w:val="bullet"/>
      <w:start w:val="1"/>
    </w:lvl>
  </w:abstractNum>
  <w:abstractNum w:abstractNumId="172">
    <w:nsid w:val="21FAA2FA"/>
    <w:multiLevelType w:val="hybridMultilevel"/>
    <w:lvl w:ilvl="0">
      <w:lvlJc w:val="left"/>
      <w:lvlText w:val="%1."/>
      <w:numFmt w:val="decimal"/>
      <w:start w:val="1"/>
    </w:lvl>
    <w:lvl w:ilvl="1">
      <w:lvlJc w:val="left"/>
      <w:lvlText w:val="(%2)"/>
      <w:numFmt w:val="lowerLetter"/>
      <w:start w:val="1"/>
    </w:lvl>
  </w:abstractNum>
  <w:abstractNum w:abstractNumId="173">
    <w:nsid w:val="5451CF49"/>
    <w:multiLevelType w:val="hybridMultilevel"/>
    <w:lvl w:ilvl="0">
      <w:lvlJc w:val="left"/>
      <w:lvlText w:val="%1."/>
      <w:numFmt w:val="decimal"/>
      <w:start w:val="3"/>
    </w:lvl>
    <w:lvl w:ilvl="1">
      <w:lvlJc w:val="left"/>
      <w:lvlText w:val="(%2)"/>
      <w:numFmt w:val="lowerLetter"/>
      <w:start w:val="1"/>
    </w:lvl>
  </w:abstractNum>
  <w:abstractNum w:abstractNumId="174">
    <w:nsid w:val="6181EF69"/>
    <w:multiLevelType w:val="hybridMultilevel"/>
    <w:lvl w:ilvl="0">
      <w:lvlJc w:val="left"/>
      <w:lvlText w:val="(%1)"/>
      <w:numFmt w:val="lowerLetter"/>
      <w:start w:val="2"/>
    </w:lvl>
  </w:abstractNum>
  <w:abstractNum w:abstractNumId="175">
    <w:nsid w:val="3E6400E6"/>
    <w:multiLevelType w:val="hybridMultilevel"/>
    <w:lvl w:ilvl="0">
      <w:lvlJc w:val="left"/>
      <w:lvlText w:val="(%1)"/>
      <w:numFmt w:val="lowerLetter"/>
      <w:start w:val="3"/>
    </w:lvl>
  </w:abstractNum>
  <w:abstractNum w:abstractNumId="176">
    <w:nsid w:val="14217E23"/>
    <w:multiLevelType w:val="hybridMultilevel"/>
    <w:lvl w:ilvl="0">
      <w:lvlJc w:val="left"/>
      <w:lvlText w:val="(%1)"/>
      <w:numFmt w:val="lowerLetter"/>
      <w:start w:val="4"/>
    </w:lvl>
  </w:abstractNum>
  <w:abstractNum w:abstractNumId="177">
    <w:nsid w:val="710757D0"/>
    <w:multiLevelType w:val="hybridMultilevel"/>
    <w:lvl w:ilvl="0">
      <w:lvlJc w:val="left"/>
      <w:lvlText w:val="(%1)"/>
      <w:numFmt w:val="lowerLetter"/>
      <w:start w:val="1"/>
    </w:lvl>
  </w:abstractNum>
  <w:abstractNum w:abstractNumId="178">
    <w:nsid w:val="5015CD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2026-04-20T16:27:27Z</dcterms:created>
  <dcterms:modified xsi:type="dcterms:W3CDTF">2026-04-20T16:27:27Z</dcterms:modified>
</cp:coreProperties>
</file>