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82026_040804.xml.htm"/>
      <w:bookmarkStart w:id="1" w:name="ksform408182026_0408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Lizzul Paul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Tracks Biotherapeutics, Inc.</w:t>
              </w:r>
            </w:hyperlink>
            <w:r>
              <w:rPr/>
              <w:t xml:space="preserve"> [ </w:t>
            </w:r>
            <w:r>
              <w:rPr>
                <w:rFonts w:ascii="Times;serif" w:hAnsi="Times;serif"/>
                <w:color w:val="0000FF"/>
                <w:sz w:val="24"/>
                <w:shd w:fill="FFFFFF" w:val="clear"/>
              </w:rPr>
              <w:t>TRAX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60,492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60,492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137,651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performance-based restricted stock units ("PSUs") that were earned by the Reporting Person upon the achievement of certain performance criteria as certified by the Compensation Committee of the Issuer's Board of Directors on August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PSU represents a conditional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PSUs vest and settle over two years; 50% vests on August 15, 2027 and 50% vests on July 1, 2028, subject to the continuing service of the Reporting Person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Ajim Tamboli,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1462" TargetMode="External"/><Relationship Id="rId5" Type="http://schemas.openxmlformats.org/officeDocument/2006/relationships/hyperlink" Target="http://www.sec.gov/cgi-bin/browse-edgar?action=getcompany&amp;CIK=00020913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660</Words>
  <Characters>3571</Characters>
  <CharactersWithSpaces>4158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