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rax_424b3_supplement_no.htm"/>
      <w:bookmarkStart w:id="1" w:name="kstrax_424b3_supplement_no"/>
      <w:bookmarkEnd w:id="0"/>
      <w:bookmarkEnd w:id="1"/>
      <w:r>
        <w:rPr/>
        <w:t> </w:t>
      </w:r>
    </w:p>
    <w:p>
      <w:pPr>
        <w:pStyle w:val="TextBody"/>
        <w:bidi w:val="0"/>
        <w:jc w:val="right"/>
        <w:rPr>
          <w:rFonts w:ascii="Times New Roman" w:hAnsi="Times New Roman"/>
          <w:color w:val="000000"/>
          <w:sz w:val="22"/>
        </w:rPr>
      </w:pPr>
      <w:r>
        <w:rPr>
          <w:rFonts w:ascii="Times New Roman" w:hAnsi="Times New Roman"/>
          <w:color w:val="000000"/>
          <w:sz w:val="22"/>
        </w:rPr>
        <w:t>Filed pursuant to Rule 434(b)(3)</w:t>
      </w:r>
    </w:p>
    <w:p>
      <w:pPr>
        <w:pStyle w:val="TextBody"/>
        <w:bidi w:val="0"/>
        <w:jc w:val="right"/>
        <w:rPr>
          <w:rFonts w:ascii="Times New Roman" w:hAnsi="Times New Roman"/>
          <w:color w:val="000000"/>
          <w:sz w:val="22"/>
        </w:rPr>
      </w:pPr>
      <w:r>
        <w:rPr>
          <w:rFonts w:ascii="Times New Roman" w:hAnsi="Times New Roman"/>
          <w:color w:val="000000"/>
          <w:sz w:val="22"/>
        </w:rPr>
        <w:t>File No. 333-295719</w:t>
      </w:r>
    </w:p>
    <w:p>
      <w:pPr>
        <w:pStyle w:val="TextBody"/>
        <w:bidi w:val="0"/>
        <w:jc w:val="left"/>
        <w:rPr>
          <w:rFonts w:ascii="Times New Roman" w:hAnsi="Times New Roman"/>
          <w:b/>
          <w:color w:val="000000"/>
          <w:sz w:val="22"/>
        </w:rPr>
      </w:pPr>
      <w:r>
        <w:rPr>
          <w:rFonts w:ascii="Times New Roman" w:hAnsi="Times New Roman"/>
          <w:b/>
          <w:color w:val="000000"/>
          <w:sz w:val="22"/>
        </w:rPr>
        <w:t>Prospectus Supplement No. 1</w:t>
      </w:r>
    </w:p>
    <w:p>
      <w:pPr>
        <w:pStyle w:val="TextBody"/>
        <w:bidi w:val="0"/>
        <w:jc w:val="left"/>
        <w:rPr>
          <w:rFonts w:ascii="Times New Roman" w:hAnsi="Times New Roman"/>
          <w:b/>
          <w:color w:val="000000"/>
          <w:sz w:val="22"/>
        </w:rPr>
      </w:pPr>
      <w:r>
        <w:rPr>
          <w:rFonts w:ascii="Times New Roman" w:hAnsi="Times New Roman"/>
          <w:b/>
          <w:color w:val="000000"/>
          <w:sz w:val="22"/>
        </w:rPr>
        <w:t>to Prospectus Dated May 14, 2026</w:t>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First Tracks Biotherapeutics, Inc.</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This prospectus supplement supplements information contained in the prospectus dated May 14, 2026 (the “Prospectus”), relating to the sale by the selling stockholders named in this prospectus (the “Selling Stockholders”) of up to 10,497,054 shares of common stock of First Tracks Biotherapeutics, Inc. (“First Tracks Biotherapeutics,” “we,” “us,” “our” or the “Company”), par value $0.001 per share (the “Resale Shares”). We will not receive any proceeds from the sale of the Resale Shares. The Selling Stockholders may sell their Resale Shares at prevailing market prices or in privately negotiated transactions.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This prospectus supplement should be read in conjunction with, and may not be delivered or utilized without, the Prospectus. This prospectus supplement is qualified by reference to the Prospectus, except to the extent that the information in this prospectus supplement supersedes the information contained in the Prospectus.</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The securities offered hereby involve risks and uncertainties. These risks are described under the caption “Risk Factors” beginning on page 11 of the Prospectus.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This prospectus supplement incorporates into the Prospectus the information contained in our attached Quarterly Report on Form 10-Q for the quarterly period ended March 31, 2026, filed with the Securities and Exchange on May 14, 2026.</w:t>
      </w:r>
    </w:p>
    <w:p>
      <w:pPr>
        <w:pStyle w:val="TextBody"/>
        <w:bidi w:val="0"/>
        <w:spacing w:before="0" w:after="240"/>
        <w:jc w:val="center"/>
        <w:rPr/>
      </w:pPr>
      <w:r>
        <w:rPr/>
        <w:t>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The date of this prospectus supplement is May 15, 2026.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sz w:val="20"/>
        </w:rPr>
      </w:pPr>
      <w:r>
        <w:rPr>
          <w:rFonts w:ascii="Times New Roman" w:hAnsi="Times New Roman"/>
          <w:b/>
          <w:color w:val="000000"/>
          <w:sz w:val="20"/>
        </w:rPr>
        <w:t>For the transition period from to .</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001-43177</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FIRST TRACKS BIOTHERAPEUTICS,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277" w:type="dxa"/>
        <w:jc w:val="left"/>
        <w:tblInd w:w="0" w:type="dxa"/>
        <w:tblLayout w:type="fixed"/>
        <w:tblCellMar>
          <w:top w:w="28" w:type="dxa"/>
          <w:left w:w="28" w:type="dxa"/>
          <w:bottom w:w="28" w:type="dxa"/>
          <w:right w:w="28" w:type="dxa"/>
        </w:tblCellMar>
      </w:tblPr>
      <w:tblGrid>
        <w:gridCol w:w="3031"/>
        <w:gridCol w:w="1246"/>
      </w:tblGrid>
      <w:tr>
        <w:trPr/>
        <w:tc>
          <w:tcPr>
            <w:tcW w:w="30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39-5003207</w:t>
            </w:r>
          </w:p>
        </w:tc>
      </w:tr>
      <w:tr>
        <w:trPr/>
        <w:tc>
          <w:tcPr>
            <w:tcW w:w="30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0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10770 Wateridge Circle, Suite 210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 Diego,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(858) 362-6295</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1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42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As of May 12, 2026, there were 34,892,381 shares of the Registrant's Common Stock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First Tracks Biotherapeutics,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3"/>
        <w:gridCol w:w="8910"/>
        <w:gridCol w:w="512"/>
      </w:tblGrid>
      <w:tr>
        <w:trPr/>
        <w:tc>
          <w:tcPr>
            <w:tcW w:w="783" w:type="dxa"/>
            <w:tcBorders/>
            <w:vAlign w:val="center"/>
          </w:tcPr>
          <w:p>
            <w:pPr>
              <w:pStyle w:val="TableContents"/>
              <w:bidi w:val="0"/>
              <w:spacing w:before="0" w:after="283"/>
              <w:jc w:val="left"/>
              <w:rPr>
                <w:sz w:val="4"/>
                <w:szCs w:val="4"/>
              </w:rPr>
            </w:pPr>
            <w:r>
              <w:rPr>
                <w:sz w:val="4"/>
                <w:szCs w:val="4"/>
              </w:rPr>
            </w:r>
          </w:p>
        </w:tc>
        <w:tc>
          <w:tcPr>
            <w:tcW w:w="89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rFonts w:ascii="Times New Roman" w:hAnsi="Times New Roman"/>
                <w:b/>
                <w:color w:val="000000"/>
                <w:sz w:val="20"/>
              </w:rPr>
              <w:t>PART I.</w:t>
            </w:r>
            <w:hyperlink w:anchor="part_i_financial_information">
              <w:r>
                <w:rPr>
                  <w:rStyle w:val="InternetLink"/>
                  <w:rFonts w:ascii="Times New Roman" w:hAnsi="Times New Roman"/>
                  <w:color w:val="000000"/>
                  <w:sz w:val="20"/>
                </w:rPr>
                <w:t xml:space="preserve"> </w:t>
              </w:r>
            </w:hyperlink>
            <w:hyperlink w:anchor="part_i_financial_information">
              <w:r>
                <w:rPr>
                  <w:rStyle w:val="InternetLink"/>
                  <w:rFonts w:ascii="Times New Roman" w:hAnsi="Times New Roman"/>
                  <w:b/>
                  <w:color w:val="000000"/>
                  <w:sz w:val="20"/>
                </w:rPr>
                <w:t>FINANCIAL INFORMATION</w:t>
              </w:r>
            </w:hyperlink>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w:t>
              </w:r>
            </w:hyperlink>
          </w:p>
        </w:tc>
        <w:tc>
          <w:tcPr>
            <w:tcW w:w="89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Combined 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FF"/>
                <w:sz w:val="20"/>
                <w:u w:val="single"/>
              </w:rPr>
            </w:pPr>
            <w:r>
              <w:rPr>
                <w:rFonts w:ascii="Times New Roman" w:hAnsi="Times New Roman"/>
                <w:color w:val="0000FF"/>
                <w:sz w:val="20"/>
                <w:u w:val="single"/>
              </w:rPr>
              <w:t>1</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9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bined_balance_sheets">
              <w:r>
                <w:rPr>
                  <w:rStyle w:val="InternetLink"/>
                  <w:rFonts w:ascii="Times New Roman" w:hAnsi="Times New Roman"/>
                  <w:color w:val="0000FF"/>
                  <w:sz w:val="20"/>
                  <w:u w:val="single"/>
                </w:rPr>
                <w:t>Combined Balance Sheets as of March 31, 2026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FF"/>
                <w:sz w:val="20"/>
                <w:u w:val="single"/>
              </w:rPr>
            </w:pPr>
            <w:r>
              <w:rPr>
                <w:rFonts w:ascii="Times New Roman" w:hAnsi="Times New Roman"/>
                <w:color w:val="0000FF"/>
                <w:sz w:val="20"/>
                <w:u w:val="single"/>
              </w:rPr>
              <w:t>1</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9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mt_of_operations_and_comp_loss">
              <w:r>
                <w:rPr>
                  <w:rStyle w:val="InternetLink"/>
                  <w:rFonts w:ascii="Times New Roman" w:hAnsi="Times New Roman"/>
                  <w:color w:val="0000FF"/>
                  <w:sz w:val="20"/>
                  <w:u w:val="single"/>
                </w:rPr>
                <w:t>Combined Statements of Operations and Comprehensive Loss for the Three Months Ended March 31,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FF"/>
                <w:sz w:val="20"/>
                <w:u w:val="single"/>
              </w:rPr>
            </w:pPr>
            <w:r>
              <w:rPr>
                <w:rFonts w:ascii="Times New Roman" w:hAnsi="Times New Roman"/>
                <w:color w:val="0000FF"/>
                <w:sz w:val="20"/>
                <w:u w:val="single"/>
              </w:rPr>
              <w:t>2</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9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bined_statements_of_equity">
              <w:r>
                <w:rPr>
                  <w:rStyle w:val="InternetLink"/>
                  <w:rFonts w:ascii="Times New Roman" w:hAnsi="Times New Roman"/>
                  <w:color w:val="0000FF"/>
                  <w:sz w:val="20"/>
                  <w:u w:val="single"/>
                </w:rPr>
                <w:t>Combined Statements of Equity for the Three Months Ended March 31,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FF"/>
                <w:sz w:val="20"/>
                <w:u w:val="single"/>
              </w:rPr>
            </w:pPr>
            <w:r>
              <w:rPr>
                <w:rFonts w:ascii="Times New Roman" w:hAnsi="Times New Roman"/>
                <w:color w:val="0000FF"/>
                <w:sz w:val="20"/>
                <w:u w:val="single"/>
              </w:rPr>
              <w:t>3</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9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bined_statements_of_cash_flows">
              <w:r>
                <w:rPr>
                  <w:rStyle w:val="InternetLink"/>
                  <w:rFonts w:ascii="Times New Roman" w:hAnsi="Times New Roman"/>
                  <w:color w:val="0000FF"/>
                  <w:sz w:val="20"/>
                  <w:u w:val="single"/>
                </w:rPr>
                <w:t>Combined Statements of Cash Flows for the Three Months Ended March 31,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FF"/>
                <w:sz w:val="20"/>
                <w:u w:val="single"/>
              </w:rPr>
            </w:pPr>
            <w:r>
              <w:rPr>
                <w:rFonts w:ascii="Times New Roman" w:hAnsi="Times New Roman"/>
                <w:color w:val="0000FF"/>
                <w:sz w:val="20"/>
                <w:u w:val="single"/>
              </w:rPr>
              <w:t>4</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9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_consolida_">
              <w:r>
                <w:rPr>
                  <w:rStyle w:val="InternetLink"/>
                  <w:rFonts w:ascii="Times New Roman" w:hAnsi="Times New Roman"/>
                  <w:color w:val="0000FF"/>
                  <w:sz w:val="20"/>
                  <w:u w:val="single"/>
                </w:rPr>
                <w:t>Notes to Unaudited Combined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5</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Item 2.</w:t>
              </w:r>
            </w:hyperlink>
          </w:p>
        </w:tc>
        <w:tc>
          <w:tcPr>
            <w:tcW w:w="89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17</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Item 3.</w:t>
              </w:r>
            </w:hyperlink>
          </w:p>
        </w:tc>
        <w:tc>
          <w:tcPr>
            <w:tcW w:w="89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25</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Item 4.</w:t>
              </w:r>
            </w:hyperlink>
          </w:p>
        </w:tc>
        <w:tc>
          <w:tcPr>
            <w:tcW w:w="89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25</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rFonts w:ascii="Times New Roman" w:hAnsi="Times New Roman"/>
                <w:b/>
                <w:color w:val="000000"/>
                <w:sz w:val="20"/>
              </w:rPr>
              <w:t xml:space="preserve">PART II. </w:t>
            </w:r>
            <w:hyperlink w:anchor="part_ii_other_information">
              <w:r>
                <w:rPr>
                  <w:rStyle w:val="InternetLink"/>
                  <w:rFonts w:ascii="Times New Roman" w:hAnsi="Times New Roman"/>
                  <w:b/>
                  <w:color w:val="000080"/>
                  <w:sz w:val="20"/>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w:t>
              </w:r>
            </w:hyperlink>
          </w:p>
        </w:tc>
        <w:tc>
          <w:tcPr>
            <w:tcW w:w="89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26</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w:t>
              </w:r>
            </w:hyperlink>
          </w:p>
        </w:tc>
        <w:tc>
          <w:tcPr>
            <w:tcW w:w="89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26</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Item 2.</w:t>
              </w:r>
            </w:hyperlink>
          </w:p>
        </w:tc>
        <w:tc>
          <w:tcPr>
            <w:tcW w:w="89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80"/>
                  <w:sz w:val="20"/>
                  <w:u w:val="single"/>
                </w:rPr>
                <w:t>Unregistered Sales of Equity Securities, Use of Proceeds and</w:t>
              </w:r>
            </w:hyperlink>
            <w:r>
              <w:rPr>
                <w:rFonts w:ascii="Times New Roman" w:hAnsi="Times New Roman"/>
                <w:color w:val="0000FF"/>
                <w:sz w:val="20"/>
                <w:u w:val="single"/>
              </w:rPr>
              <w:t> Issuer Purchases of Equity Securities</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61</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w:t>
              </w:r>
            </w:hyperlink>
          </w:p>
        </w:tc>
        <w:tc>
          <w:tcPr>
            <w:tcW w:w="89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62</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w:t>
              </w:r>
            </w:hyperlink>
          </w:p>
        </w:tc>
        <w:tc>
          <w:tcPr>
            <w:tcW w:w="89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62</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Item 5.</w:t>
              </w:r>
            </w:hyperlink>
          </w:p>
        </w:tc>
        <w:tc>
          <w:tcPr>
            <w:tcW w:w="89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62</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w:t>
              </w:r>
            </w:hyperlink>
          </w:p>
        </w:tc>
        <w:tc>
          <w:tcPr>
            <w:tcW w:w="89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63</w:t>
            </w:r>
          </w:p>
        </w:tc>
      </w:tr>
      <w:tr>
        <w:trPr/>
        <w:tc>
          <w:tcPr>
            <w:tcW w:w="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FF"/>
                <w:sz w:val="20"/>
                <w:u w:val="single"/>
              </w:rPr>
            </w:pPr>
            <w:r>
              <w:rPr>
                <w:rFonts w:ascii="Times New Roman" w:hAnsi="Times New Roman"/>
                <w:color w:val="0000FF"/>
                <w:sz w:val="20"/>
                <w:u w:val="single"/>
              </w:rPr>
              <w:t>64</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Combined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First Tracks Biotherapeutics, Inc.</w:t>
      </w:r>
    </w:p>
    <w:p>
      <w:pPr>
        <w:pStyle w:val="TextBody"/>
        <w:bidi w:val="0"/>
        <w:jc w:val="center"/>
        <w:rPr>
          <w:rFonts w:ascii="Times New Roman" w:hAnsi="Times New Roman"/>
          <w:b/>
          <w:color w:val="000000"/>
          <w:sz w:val="20"/>
        </w:rPr>
      </w:pPr>
      <w:bookmarkStart w:id="4" w:name="combined_balance_sheets"/>
      <w:bookmarkEnd w:id="4"/>
      <w:r>
        <w:rPr>
          <w:rFonts w:ascii="Times New Roman" w:hAnsi="Times New Roman"/>
          <w:b/>
          <w:color w:val="000000"/>
          <w:sz w:val="20"/>
        </w:rPr>
        <w:t>Combined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left"/>
        <w:rPr/>
      </w:pPr>
      <w:r>
        <w:rPr/>
        <w:t> </w:t>
      </w:r>
    </w:p>
    <w:tbl>
      <w:tblPr>
        <w:tblW w:w="7705" w:type="dxa"/>
        <w:jc w:val="left"/>
        <w:tblInd w:w="0" w:type="dxa"/>
        <w:tblLayout w:type="fixed"/>
        <w:tblCellMar>
          <w:top w:w="28" w:type="dxa"/>
          <w:left w:w="28" w:type="dxa"/>
          <w:bottom w:w="28" w:type="dxa"/>
          <w:right w:w="28" w:type="dxa"/>
        </w:tblCellMar>
      </w:tblPr>
      <w:tblGrid>
        <w:gridCol w:w="3901"/>
        <w:gridCol w:w="546"/>
        <w:gridCol w:w="268"/>
        <w:gridCol w:w="992"/>
        <w:gridCol w:w="166"/>
        <w:gridCol w:w="146"/>
        <w:gridCol w:w="233"/>
        <w:gridCol w:w="862"/>
        <w:gridCol w:w="591"/>
      </w:tblGrid>
      <w:tr>
        <w:trPr/>
        <w:tc>
          <w:tcPr>
            <w:tcW w:w="390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238,196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73,442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330,545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Parent Investment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287,514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equity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287,490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equity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330,545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combined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Tracks Biotherapeutics, Inc.</w:t>
      </w:r>
    </w:p>
    <w:p>
      <w:pPr>
        <w:pStyle w:val="TextBody"/>
        <w:bidi w:val="0"/>
        <w:jc w:val="center"/>
        <w:rPr>
          <w:rFonts w:ascii="Times New Roman" w:hAnsi="Times New Roman"/>
          <w:b/>
          <w:color w:val="000000"/>
          <w:sz w:val="20"/>
        </w:rPr>
      </w:pPr>
      <w:bookmarkStart w:id="5" w:name="stmt_of_operations_and_comp_loss"/>
      <w:bookmarkEnd w:id="5"/>
      <w:r>
        <w:rPr>
          <w:rFonts w:ascii="Times New Roman" w:hAnsi="Times New Roman"/>
          <w:b/>
          <w:color w:val="000000"/>
          <w:sz w:val="20"/>
        </w:rPr>
        <w:t>Combined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7241" w:type="dxa"/>
        <w:jc w:val="left"/>
        <w:tblInd w:w="0" w:type="dxa"/>
        <w:tblLayout w:type="fixed"/>
        <w:tblCellMar>
          <w:top w:w="28" w:type="dxa"/>
          <w:left w:w="28" w:type="dxa"/>
          <w:bottom w:w="28" w:type="dxa"/>
          <w:right w:w="28" w:type="dxa"/>
        </w:tblCellMar>
      </w:tblPr>
      <w:tblGrid>
        <w:gridCol w:w="3886"/>
        <w:gridCol w:w="146"/>
        <w:gridCol w:w="229"/>
        <w:gridCol w:w="801"/>
        <w:gridCol w:w="180"/>
        <w:gridCol w:w="158"/>
        <w:gridCol w:w="229"/>
        <w:gridCol w:w="801"/>
        <w:gridCol w:w="8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18,856</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52,811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51,280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(52,811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(51,280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(50,606</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(47,340</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unaudited combined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Tracks Biotherapeutics, Inc.</w:t>
      </w:r>
    </w:p>
    <w:p>
      <w:pPr>
        <w:pStyle w:val="TextBody"/>
        <w:bidi w:val="0"/>
        <w:jc w:val="center"/>
        <w:rPr>
          <w:rFonts w:ascii="Times New Roman" w:hAnsi="Times New Roman"/>
          <w:b/>
          <w:color w:val="000000"/>
          <w:sz w:val="20"/>
        </w:rPr>
      </w:pPr>
      <w:bookmarkStart w:id="6" w:name="combined_statements_of_equity"/>
      <w:bookmarkEnd w:id="6"/>
      <w:r>
        <w:rPr>
          <w:rFonts w:ascii="Times New Roman" w:hAnsi="Times New Roman"/>
          <w:b/>
          <w:color w:val="000000"/>
          <w:sz w:val="20"/>
        </w:rPr>
        <w:t>Combined Statements of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7182" w:type="dxa"/>
        <w:jc w:val="left"/>
        <w:tblInd w:w="0" w:type="dxa"/>
        <w:tblLayout w:type="fixed"/>
        <w:tblCellMar>
          <w:top w:w="28" w:type="dxa"/>
          <w:left w:w="28" w:type="dxa"/>
          <w:bottom w:w="28" w:type="dxa"/>
          <w:right w:w="28" w:type="dxa"/>
        </w:tblCellMar>
      </w:tblPr>
      <w:tblGrid>
        <w:gridCol w:w="3001"/>
        <w:gridCol w:w="146"/>
        <w:gridCol w:w="211"/>
        <w:gridCol w:w="781"/>
        <w:gridCol w:w="166"/>
        <w:gridCol w:w="146"/>
        <w:gridCol w:w="370"/>
        <w:gridCol w:w="846"/>
        <w:gridCol w:w="166"/>
        <w:gridCol w:w="146"/>
        <w:gridCol w:w="211"/>
        <w:gridCol w:w="781"/>
        <w:gridCol w:w="21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Parent</w:t>
              <w:br/>
              <w:t>Investment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Parent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257,464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7182" w:type="dxa"/>
        <w:jc w:val="left"/>
        <w:tblInd w:w="0" w:type="dxa"/>
        <w:tblLayout w:type="fixed"/>
        <w:tblCellMar>
          <w:top w:w="28" w:type="dxa"/>
          <w:left w:w="28" w:type="dxa"/>
          <w:bottom w:w="28" w:type="dxa"/>
          <w:right w:w="28" w:type="dxa"/>
        </w:tblCellMar>
      </w:tblPr>
      <w:tblGrid>
        <w:gridCol w:w="3001"/>
        <w:gridCol w:w="146"/>
        <w:gridCol w:w="211"/>
        <w:gridCol w:w="781"/>
        <w:gridCol w:w="166"/>
        <w:gridCol w:w="146"/>
        <w:gridCol w:w="370"/>
        <w:gridCol w:w="846"/>
        <w:gridCol w:w="166"/>
        <w:gridCol w:w="146"/>
        <w:gridCol w:w="211"/>
        <w:gridCol w:w="781"/>
        <w:gridCol w:w="21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Parent</w:t>
              <w:br/>
              <w:t>Investment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(Loss) Gain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Parent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357,718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See accompanying notes to unaudited combined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Tracks Biotherapeutics, Inc.</w:t>
      </w:r>
    </w:p>
    <w:p>
      <w:pPr>
        <w:pStyle w:val="TextBody"/>
        <w:bidi w:val="0"/>
        <w:jc w:val="center"/>
        <w:rPr>
          <w:rFonts w:ascii="Times New Roman" w:hAnsi="Times New Roman"/>
          <w:b/>
          <w:color w:val="000000"/>
          <w:sz w:val="20"/>
        </w:rPr>
      </w:pPr>
      <w:bookmarkStart w:id="7" w:name="combined_statements_of_cash_flows"/>
      <w:bookmarkEnd w:id="7"/>
      <w:r>
        <w:rPr>
          <w:rFonts w:ascii="Times New Roman" w:hAnsi="Times New Roman"/>
          <w:b/>
          <w:color w:val="000000"/>
          <w:sz w:val="20"/>
        </w:rPr>
        <w:t>Combined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9587" w:type="dxa"/>
        <w:jc w:val="left"/>
        <w:tblInd w:w="0" w:type="dxa"/>
        <w:tblLayout w:type="fixed"/>
        <w:tblCellMar>
          <w:top w:w="28" w:type="dxa"/>
          <w:left w:w="28" w:type="dxa"/>
          <w:bottom w:w="28" w:type="dxa"/>
          <w:right w:w="28" w:type="dxa"/>
        </w:tblCellMar>
      </w:tblPr>
      <w:tblGrid>
        <w:gridCol w:w="6031"/>
        <w:gridCol w:w="546"/>
        <w:gridCol w:w="215"/>
        <w:gridCol w:w="795"/>
        <w:gridCol w:w="169"/>
        <w:gridCol w:w="148"/>
        <w:gridCol w:w="215"/>
        <w:gridCol w:w="857"/>
        <w:gridCol w:w="611"/>
      </w:tblGrid>
      <w:tr>
        <w:trPr/>
        <w:tc>
          <w:tcPr>
            <w:tcW w:w="603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Accretion/amortization of investments,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right-of-use assets – operating</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other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operating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(32,561</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investments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(122,547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maturities of investments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137,429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investing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34,983</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parent investment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7,851</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7,851</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10,273</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238,196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123,080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248,469</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98,637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investing and financing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transfer of assets and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Amounts accrued for property and equipment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See accompanying notes to unaudited combined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First Tracks Biotherapeutics, Inc.</w:t>
      </w:r>
    </w:p>
    <w:p>
      <w:pPr>
        <w:pStyle w:val="TextBody"/>
        <w:bidi w:val="0"/>
        <w:jc w:val="center"/>
        <w:rPr>
          <w:rFonts w:ascii="Times New Roman" w:hAnsi="Times New Roman"/>
          <w:b/>
          <w:color w:val="000000"/>
          <w:sz w:val="20"/>
        </w:rPr>
      </w:pPr>
      <w:bookmarkStart w:id="8" w:name="notes_to_unaudited_condensed_consolida_"/>
      <w:bookmarkEnd w:id="8"/>
      <w:r>
        <w:rPr>
          <w:rFonts w:ascii="Times New Roman" w:hAnsi="Times New Roman"/>
          <w:b/>
          <w:color w:val="000000"/>
          <w:sz w:val="20"/>
        </w:rPr>
        <w:t>Notes to Combined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Description of the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First Tracks Biotherapeutics, Inc. (“we,” “us,” “our,” or the “Company”) is a clinical-stage biotechnology company advancing antibody therapies that modulate immune pathways implicated in autoimmune and inflammatory diseases. Our pipeline includes ANB033, a CD122 antagonist in development for celiac disease and eosinophilic esophagitis; rosnilimab, a pathogenic T cell depleter in development for rheumatoid arthritis; and ANB101, a BDCA2 modulator.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Our management believes our currently available resources will provide sufficient funds to enable us to meet our operating plans for at least the next 12 months from the issuance of our combined financial statements. The accompanying combined financial statements do not include any adjustments that might be necessary if we are unable to continue as a going concern.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Separation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financial support has been provided primarily by AnaptysBio, Inc. (“AnaptysBio”), our former parent company. In September 2025, AnaptysBio announced its intent, as approved by its board of directors on September 29, 2025, to separate our operations from AnaptysBio into a separate, independent, publicly traded company (the “Spin-Off”). The Spin-Off was completed on April 20, 2026 (the “Distribution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the Distribution Date, AnaptysBio distributed 29,100,902 shares of First Tracks Biotherapeutics common stock to its shareholders and the Company issued 5,791,479 shares of its common stock as part of the previously announced private placement, see Note 9 — Subsequent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Spin-Off, we entered into a separation and distribution agreement (the "Separation and Distribution Agreement") with AnaptysBio. The Separation and Distribution Agreement identifies the assets transferred to (including the contracts assigned) or retained by, and the liabilities assumed or retained by each of us, and AnaptysBio.</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unaudited combined financial statements have been prepared pursuant to the rules and regulations of the U.S. Securities and Exchange Commission (“SEC”). Certain information and note disclosures normally included in annual financial statements prepared in accordance with U.S. generally accepted accounting principles (“U.S. GAAP”) have been omitted. The accompanying unaudited combined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Operating results for the three months ended March 31, 2026 are not necessarily indicative of the results that may be expected for the year ending December 31, 2026. The financial statements should be read in conjunction with our audited financial statements for the year ended December 31, 2025 included in our Form 10, which was filed with the SEC on March 27,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periods presented, we were not a separate legal entity and did not directly own the Australian subsidiary, which was legally owned by AnaptysBio. The portions of the Australian subsidiary’s assets, liabilities, income, expenses and cash flows related to our business are included in these combined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operate in one reportable segment, and our functional and reporting currency is the U.S. dollar.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preparation of the accompanying combined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expenses during the reporting periods. Actual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results could differ from those estimates. We base our estimates and assumptions on historical experience when available and on various factors that we believe to be reasonable under the circumstances. Significant estimates relied upon in preparing these financial statements include estimates related to accrued research and development expenses, stock-based compensation and the allocation of costs between AnaptysBio and First Tracks Biotherapeutics. We evaluate our estimates and assumptions on an ongoing basis. Our actual results could differ from these estimates under different assumptions or conditions.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implemented all new accounting pronouncements that are in effect and may have an impact on our combined financial statements. Unless otherwise discussed, we believe the impact of any recently issued pronouncements will not have a material impact on our combined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 Not Yet Adopted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Financial Accounting Standards Board (“FASB”) issued Accounting Standard Update (“ASU”) No.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which requires disclosure about the types of costs and expenses included in certain expense captions presented on the income statement</w:t>
      </w:r>
      <w:r>
        <w:rPr>
          <w:rFonts w:ascii="Times New Roman" w:hAnsi="Times New Roman"/>
          <w:i/>
          <w:color w:val="000000"/>
          <w:sz w:val="20"/>
        </w:rPr>
        <w:t>.</w:t>
      </w:r>
      <w:r>
        <w:rPr>
          <w:rFonts w:ascii="Times New Roman" w:hAnsi="Times New Roman"/>
          <w:color w:val="000000"/>
          <w:sz w:val="20"/>
        </w:rPr>
        <w:t xml:space="preserve"> The new disclosure requirements are effective for annual reporting periods beginning after December 15, 2026, and interim reporting periods beginning after December 15, 2027. Early adoption is permitted. We are currently evaluating the provisions of this guidance and assessing the potential impact on our financial statement disclosures.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2025, the FASB issued ASU No. 2025-11, </w:t>
      </w:r>
      <w:r>
        <w:rPr>
          <w:rFonts w:ascii="Times New Roman" w:hAnsi="Times New Roman"/>
          <w:i/>
          <w:color w:val="000000"/>
          <w:sz w:val="20"/>
        </w:rPr>
        <w:t>Interim Reporting (Topic 270): Narrow-Scope Improvements,</w:t>
      </w:r>
      <w:r>
        <w:rPr>
          <w:rFonts w:ascii="Times New Roman" w:hAnsi="Times New Roman"/>
          <w:color w:val="000000"/>
          <w:sz w:val="20"/>
        </w:rPr>
        <w:t xml:space="preserve">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period that have a material impact on the entity. ASU 2025-11 is effective for fiscal years beginning after December 15, 2027, including interim periods within those fiscal years, with early adoption permitted. We are currently evaluating the impact of adoption on our financial statement disclosures.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Balance Sheet Accounts and Supplemental Disclosures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net consist of the following:</w:t>
      </w:r>
    </w:p>
    <w:p>
      <w:pPr>
        <w:pStyle w:val="TextBody"/>
        <w:bidi w:val="0"/>
        <w:jc w:val="left"/>
        <w:rPr/>
      </w:pPr>
      <w:r>
        <w:rPr/>
        <w:t> </w:t>
      </w:r>
    </w:p>
    <w:tbl>
      <w:tblPr>
        <w:tblW w:w="7740" w:type="dxa"/>
        <w:jc w:val="left"/>
        <w:tblInd w:w="0" w:type="dxa"/>
        <w:tblLayout w:type="fixed"/>
        <w:tblCellMar>
          <w:top w:w="28" w:type="dxa"/>
          <w:left w:w="28" w:type="dxa"/>
          <w:bottom w:w="28" w:type="dxa"/>
          <w:right w:w="28" w:type="dxa"/>
        </w:tblCellMar>
      </w:tblPr>
      <w:tblGrid>
        <w:gridCol w:w="4111"/>
        <w:gridCol w:w="146"/>
        <w:gridCol w:w="315"/>
        <w:gridCol w:w="945"/>
        <w:gridCol w:w="166"/>
        <w:gridCol w:w="146"/>
        <w:gridCol w:w="376"/>
        <w:gridCol w:w="1124"/>
        <w:gridCol w:w="4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Leasehold improvements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leasehold improvements were assumed by AnaptysBio.</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Accrued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Accrued expenses consist of the following:</w:t>
      </w:r>
    </w:p>
    <w:p>
      <w:pPr>
        <w:pStyle w:val="TextBody"/>
        <w:bidi w:val="0"/>
        <w:jc w:val="left"/>
        <w:rPr/>
      </w:pPr>
      <w:r>
        <w:rPr/>
        <w:t> </w:t>
      </w:r>
    </w:p>
    <w:tbl>
      <w:tblPr>
        <w:tblW w:w="8600" w:type="dxa"/>
        <w:jc w:val="left"/>
        <w:tblInd w:w="0" w:type="dxa"/>
        <w:tblLayout w:type="fixed"/>
        <w:tblCellMar>
          <w:top w:w="28" w:type="dxa"/>
          <w:left w:w="28" w:type="dxa"/>
          <w:bottom w:w="28" w:type="dxa"/>
          <w:right w:w="28" w:type="dxa"/>
        </w:tblCellMar>
      </w:tblPr>
      <w:tblGrid>
        <w:gridCol w:w="5011"/>
        <w:gridCol w:w="146"/>
        <w:gridCol w:w="299"/>
        <w:gridCol w:w="961"/>
        <w:gridCol w:w="146"/>
        <w:gridCol w:w="146"/>
        <w:gridCol w:w="357"/>
        <w:gridCol w:w="1143"/>
        <w:gridCol w:w="391"/>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development and manufacturing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Collaborative Research and Development Agreements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Centessa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24, 2023, we entered into an exclusive license agreement (as amended, the “Centessa Agreement”) with Centessa Pharmaceuticals (UK) Limited (“Centessa”), pursuant to which we acquired the exclusive global development and commercialization rights to a blood dendritic cell antigen 2 (BDCA2) modulator antibody portfolio, including lead asset CBS004 (renamed ANB101), and the related family of antibodies, for the treatment of autoimmune and inflammatory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Centessa Agreement, we paid Centessa an upfront cash payment of $4.0 million and an additional cash payment of $3.0 million as reimbursement to Centessa for manufacturing costs incurred. There were $0.3 million in transaction costs incurred. The total transaction amount of $7.3 million was expensed as in-process research and development and classified as an operating activity in the statement of cash flows. We accounted for the transaction as an asset acquisition as the set of acquired assets did not constitute a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Centessa Agreement, Centessa may be entitled to receive potential future payments of up to $10.0 million upon the achievement of a certain event-based milestone and would be entitled to receive on a product-by-product and country-by-country basis, a royalty of low single digits on annual net sales of any product in the territory in each calendar year. As of March 31, 2026, achievement of the milestone is not probable and, therefore, we have not recognized a liability for the associated $10.0 million contingent consideration.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Vanda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31, 2025, we entered into an Exclusive License Agreement (the “Vanda License Agreement”) with Vanda pursuant to which Vanda was granted an exclusive, global license for the development and commercialization of imsidolimab (IL-36R antagonist mAb), which has completed two registration-enabling global Phase 3 trials, GEMINI-1 and GEMINI-2, evaluating the safety and efficacy of imsidolimab in patients with generalized pustular psoriasis (“GPP”).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milestones are payable under the Vanda License Agreement:</w:t>
      </w:r>
    </w:p>
    <w:tbl>
      <w:tblPr>
        <w:tblW w:w="10205" w:type="dxa"/>
        <w:jc w:val="left"/>
        <w:tblInd w:w="0" w:type="dxa"/>
        <w:tblLayout w:type="fixed"/>
        <w:tblCellMar>
          <w:top w:w="28" w:type="dxa"/>
          <w:left w:w="28" w:type="dxa"/>
          <w:bottom w:w="28" w:type="dxa"/>
          <w:right w:w="28" w:type="dxa"/>
        </w:tblCellMar>
      </w:tblPr>
      <w:tblGrid>
        <w:gridCol w:w="7674"/>
        <w:gridCol w:w="146"/>
        <w:gridCol w:w="751"/>
        <w:gridCol w:w="146"/>
        <w:gridCol w:w="1488"/>
      </w:tblGrid>
      <w:tr>
        <w:trPr/>
        <w:tc>
          <w:tcPr>
            <w:tcW w:w="7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r>
      <w:tr>
        <w:trPr/>
        <w:tc>
          <w:tcPr>
            <w:tcW w:w="76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Milestone Event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Quarter Recognized</w:t>
            </w:r>
          </w:p>
        </w:tc>
      </w:tr>
      <w:tr>
        <w:trPr/>
        <w:tc>
          <w:tcPr>
            <w:tcW w:w="76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FDA regulatory approval for marketing of first licensed product in the USA for the treatment of active flares in GPP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6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Regulatory approval for marketing of the first licensed product in the EU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6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sales first exceed $100.0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6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Milestones recognized through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76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Milestones that may be recognized in the future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$35.0M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Separation and Distribution Agreement, any and all rights to receive milestone payments under the Vanda License Agreement will be retained by us.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Related Party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historically operated as part of AnaptysBio and not as a standalone entity. Accordingly, the accompanying combined financial statements are derived from the consolidated financial statements and accounting records of AnaptysBio.</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 Allocations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combined financial statements reflect allocations of certain expenses from the financial statements of AnaptysBio, including research and development expenses and administrative expenses. These allocations include, but are not limited to, executive management, employee compensation and benefits, facilities and operations, information technology, business development, financial services (such as accounting, audit, and tax), legal, insurance, and stock-based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Internal research and development costs that could not be specifically identified were allocated to the program level using the percentage of external research and development costs as the allocation driver. General and administrative expenses were allocated similarly to the allocation of internal research and development costs, with a portion allocated based on estimated employee headcount.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allocations are reflected in the combined statements of operations as follows: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For the three months ended March 31, 2026 and 2025, transactions with AnaptysBio were as follows:</w:t>
      </w:r>
    </w:p>
    <w:tbl>
      <w:tblPr>
        <w:tblW w:w="5759" w:type="dxa"/>
        <w:jc w:val="left"/>
        <w:tblInd w:w="0" w:type="dxa"/>
        <w:tblLayout w:type="fixed"/>
        <w:tblCellMar>
          <w:top w:w="28" w:type="dxa"/>
          <w:left w:w="28" w:type="dxa"/>
          <w:bottom w:w="28" w:type="dxa"/>
          <w:right w:w="28" w:type="dxa"/>
        </w:tblCellMar>
      </w:tblPr>
      <w:tblGrid>
        <w:gridCol w:w="3156"/>
        <w:gridCol w:w="146"/>
        <w:gridCol w:w="211"/>
        <w:gridCol w:w="676"/>
        <w:gridCol w:w="146"/>
        <w:gridCol w:w="146"/>
        <w:gridCol w:w="211"/>
        <w:gridCol w:w="676"/>
        <w:gridCol w:w="39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allocated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combined financial statements reflect allocations of certain assets and liabilities from the financial statements of AnaptysBio. These allocations include, but are not limited to, prepaid expenses and other current assets, accounts payable, accrued expenses, and accumulated deficit. Amounts that could not be specifically identified were allocated using the percentage of external research and development costs as the allocation driver.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believes these cost allocation methods are reasonable and reflect the services provided to First Tracks Biotherapeutics during the periods presented. The allocations may not, however, be indicative of the actual expenses that would have been incurred had First Tracks Biotherapeutics operated as a standalone public company. Actual costs that may have been incurred if First Tracks Biotherapeutics had been a standalone public company would depend on a number of factors, including the organizational structure, whether functions were outsourced or performed by First Tracks Biotherapeutics employees, and decisions made in areas such as research and development, infrastructure, and information technology.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Investment from AnaptysBio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Related party transactions between First Tracks Biotherapeutics and AnaptysBio have been included within net parent investment in the combined balance sheets in the historical periods presented as these related party transactions were not settled in cash. Net parent investment in the combined balance sheets and combined statements of equity represents AnaptysBio’s investment in First Tracks Biotherapeutics, the net effect of transactions with, and allocations from AnaptysBio. The components of net transfers from AnaptysBio and the reconciliation to the corresponding amount presented on the combined statements of cash flows were as follows:</w:t>
      </w:r>
    </w:p>
    <w:p>
      <w:pPr>
        <w:pStyle w:val="TextBody"/>
        <w:bidi w:val="0"/>
        <w:jc w:val="left"/>
        <w:rPr/>
      </w:pPr>
      <w:r>
        <w:rPr/>
        <w:t> </w:t>
      </w:r>
    </w:p>
    <w:tbl>
      <w:tblPr>
        <w:tblW w:w="6624" w:type="dxa"/>
        <w:jc w:val="left"/>
        <w:tblInd w:w="0" w:type="dxa"/>
        <w:tblLayout w:type="fixed"/>
        <w:tblCellMar>
          <w:top w:w="28" w:type="dxa"/>
          <w:left w:w="28" w:type="dxa"/>
          <w:bottom w:w="28" w:type="dxa"/>
          <w:right w:w="28" w:type="dxa"/>
        </w:tblCellMar>
      </w:tblPr>
      <w:tblGrid>
        <w:gridCol w:w="4246"/>
        <w:gridCol w:w="146"/>
        <w:gridCol w:w="211"/>
        <w:gridCol w:w="736"/>
        <w:gridCol w:w="166"/>
        <w:gridCol w:w="146"/>
        <w:gridCol w:w="211"/>
        <w:gridCol w:w="571"/>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Allocations of AnaptysBio’s corporate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transfer of ROU assets to AnaptysBio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transfer of lease liabilities to AnaptysBio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7,851</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5,716</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6. Fair Value Measurements and Available-for-Sale Investments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financial instruments consist principally of cash, cash equivalents, short-term and long-term investments, receivables, and accounts payable. Certain of our financial assets and liabilities have been recorded at fair value in the combined balance sheet in accordance with the accounting standards for fair value measurements.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1—Observable inputs that reflect quoted prices (unadjusted) for identical assets or liabilities in active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3—Unobservable inputs that are supported by little or no market activities, therefore requiring an entity to develop its own assumptions.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Assets and Liabilities Measured at Fair Value on a Recurring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assets and liabilities that require fair value measurements on a recurring basis and their respective input levels based on the fair value hierarchy:</w:t>
      </w:r>
    </w:p>
    <w:p>
      <w:pPr>
        <w:pStyle w:val="TextBody"/>
        <w:bidi w:val="0"/>
        <w:jc w:val="left"/>
        <w:rPr/>
      </w:pPr>
      <w:r>
        <w:rPr/>
        <w:t> </w:t>
      </w:r>
    </w:p>
    <w:tbl>
      <w:tblPr>
        <w:tblW w:w="9331" w:type="dxa"/>
        <w:jc w:val="left"/>
        <w:tblInd w:w="0" w:type="dxa"/>
        <w:tblLayout w:type="fixed"/>
        <w:tblCellMar>
          <w:top w:w="28" w:type="dxa"/>
          <w:left w:w="28" w:type="dxa"/>
          <w:bottom w:w="28" w:type="dxa"/>
          <w:right w:w="28" w:type="dxa"/>
        </w:tblCellMar>
      </w:tblPr>
      <w:tblGrid>
        <w:gridCol w:w="3406"/>
        <w:gridCol w:w="146"/>
        <w:gridCol w:w="211"/>
        <w:gridCol w:w="781"/>
        <w:gridCol w:w="146"/>
        <w:gridCol w:w="146"/>
        <w:gridCol w:w="261"/>
        <w:gridCol w:w="969"/>
        <w:gridCol w:w="146"/>
        <w:gridCol w:w="146"/>
        <w:gridCol w:w="295"/>
        <w:gridCol w:w="950"/>
        <w:gridCol w:w="146"/>
        <w:gridCol w:w="146"/>
        <w:gridCol w:w="471"/>
        <w:gridCol w:w="774"/>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End of Period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Market</w:t>
              <w:br/>
              <w:t>Prices for</w:t>
              <w:br/>
              <w:t>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Money market funds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Mutual funds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U.S. Treasury securities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Commercial and corporate obligations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Money market funds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Mutual funds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U.S. Treasury securities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Commercial and corporate obligations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Included in cash and cash equivalents in the accompanying combined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Included in short-term investments in the accompanying combined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methods and assumptions were used to estimate the fair value of our financial instruments for which it is practicable to estimate that value:</w:t>
      </w:r>
    </w:p>
    <w:p>
      <w:pPr>
        <w:pStyle w:val="TextBody"/>
        <w:bidi w:val="0"/>
        <w:spacing w:before="240" w:after="283"/>
        <w:jc w:val="left"/>
        <w:rPr>
          <w:rFonts w:ascii="Times New Roman" w:hAnsi="Times New Roman"/>
          <w:sz w:val="20"/>
        </w:rPr>
      </w:pPr>
      <w:r>
        <w:rPr>
          <w:rFonts w:ascii="Times New Roman" w:hAnsi="Times New Roman"/>
          <w:i/>
          <w:color w:val="000000"/>
          <w:sz w:val="20"/>
        </w:rPr>
        <w:t>Marketable Securities.</w:t>
      </w:r>
      <w:r>
        <w:rPr>
          <w:rFonts w:ascii="Times New Roman" w:hAnsi="Times New Roman"/>
          <w:color w:val="000000"/>
          <w:sz w:val="20"/>
        </w:rPr>
        <w:t xml:space="preserve"> For fair values determined by Level 1 inputs, which utilize quoted prices in active markets for identical assets, the level of judgment required to estimate fair value is relatively low. For fair values determined by Level 2 inputs, which utilize quoted prices in less active markets for similar assets, the level of judgment required to estimate fair value is also considered relatively 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of Other Financial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amounts of certain of our financial instruments, including cash and cash equivalents, accounts payable, and accrued expenses approximate fair value due to their short-term nature.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Available-for-Sale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short-term and long-term investments as of March 31, 2026 are as follows:</w:t>
      </w:r>
    </w:p>
    <w:p>
      <w:pPr>
        <w:pStyle w:val="TextBody"/>
        <w:bidi w:val="0"/>
        <w:jc w:val="left"/>
        <w:rPr/>
      </w:pPr>
      <w:r>
        <w:rPr/>
        <w:t> </w:t>
      </w:r>
    </w:p>
    <w:tbl>
      <w:tblPr>
        <w:tblW w:w="7387" w:type="dxa"/>
        <w:jc w:val="left"/>
        <w:tblInd w:w="0" w:type="dxa"/>
        <w:tblLayout w:type="fixed"/>
        <w:tblCellMar>
          <w:top w:w="28" w:type="dxa"/>
          <w:left w:w="28" w:type="dxa"/>
          <w:bottom w:w="28" w:type="dxa"/>
          <w:right w:w="28" w:type="dxa"/>
        </w:tblCellMar>
      </w:tblPr>
      <w:tblGrid>
        <w:gridCol w:w="3406"/>
        <w:gridCol w:w="346"/>
        <w:gridCol w:w="211"/>
        <w:gridCol w:w="676"/>
        <w:gridCol w:w="146"/>
        <w:gridCol w:w="146"/>
        <w:gridCol w:w="354"/>
        <w:gridCol w:w="532"/>
        <w:gridCol w:w="146"/>
        <w:gridCol w:w="146"/>
        <w:gridCol w:w="211"/>
        <w:gridCol w:w="676"/>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Commercial and corporate obligations</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US Treasury securities</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available-for-sale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pPr>
      <w:r>
        <w:rPr>
          <w:rFonts w:ascii="Times New Roman" w:hAnsi="Times New Roman"/>
          <w:color w:val="000000"/>
          <w:sz w:val="20"/>
        </w:rPr>
        <w:t>Of our outstanding commercial and corporate</w:t>
      </w:r>
      <w:r>
        <w:rPr>
          <w:color w:val="000000"/>
        </w:rPr>
        <w:t xml:space="preserve"> </w:t>
      </w:r>
      <w:r>
        <w:rPr>
          <w:rFonts w:ascii="Times New Roman" w:hAnsi="Times New Roman"/>
          <w:color w:val="000000"/>
          <w:sz w:val="20"/>
        </w:rPr>
        <w:t>obligations, $5.0 million have maturity dates of less than one year and $0.0 million have a maturity date of between one to two years as of March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our outstanding U.S. Treasury securities, $33.0 million have maturity dates of less than one year and $0.0 million have a maturity date of between one to two years as of March 31,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aggregate market value, cost basis, and gross unrealized gains and losses of available-for-sale investments by security type, classified in cash equivalents, short-term and long-term investments as of December 31, 2025 are as follows:</w:t>
      </w:r>
    </w:p>
    <w:p>
      <w:pPr>
        <w:pStyle w:val="TextBody"/>
        <w:bidi w:val="0"/>
        <w:jc w:val="left"/>
        <w:rPr/>
      </w:pPr>
      <w:r>
        <w:rPr/>
        <w:t> </w:t>
      </w:r>
    </w:p>
    <w:tbl>
      <w:tblPr>
        <w:tblW w:w="7387" w:type="dxa"/>
        <w:jc w:val="left"/>
        <w:tblInd w:w="0" w:type="dxa"/>
        <w:tblLayout w:type="fixed"/>
        <w:tblCellMar>
          <w:top w:w="28" w:type="dxa"/>
          <w:left w:w="28" w:type="dxa"/>
          <w:bottom w:w="28" w:type="dxa"/>
          <w:right w:w="28" w:type="dxa"/>
        </w:tblCellMar>
      </w:tblPr>
      <w:tblGrid>
        <w:gridCol w:w="3406"/>
        <w:gridCol w:w="346"/>
        <w:gridCol w:w="211"/>
        <w:gridCol w:w="676"/>
        <w:gridCol w:w="146"/>
        <w:gridCol w:w="146"/>
        <w:gridCol w:w="295"/>
        <w:gridCol w:w="591"/>
        <w:gridCol w:w="146"/>
        <w:gridCol w:w="146"/>
        <w:gridCol w:w="211"/>
        <w:gridCol w:w="676"/>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Commercial and corporate obligations</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US Treasury securities</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available-for-sale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Of our outstanding commercial and corporate obligations, $10.2 million have maturity dates of less than one year and $0.0 million have a maturity date of between one to two years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our outstanding U.S. Treasury securities $63.3 million have maturity dates of less than one year and $0.0 million have a maturity date of between one to two years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available-for-sale investments in an unrealized loss position as of March 31, 2026 or December 31, 2025. Accordingly, no allowance for credit losses was recorded.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Equity Compensation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we had no stock-based compensation plan. Under AnaptysBio’s stock-based compensation plan, 2017 Equity Incentive Plan (the “2017 Plan”), AnaptysBio may grant stock options, stock appreciation rights, restricted stock, restricted stock units and other awards to individuals who are then our employees, officers, directors or consultants. All awards granted under AnaptysBio’s 2017 Plan were based on AnaptysBio’s common stock and, as such, are reflected in AnaptysBio’s consolidated statement of equity and not in our combined statements of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awards granted under AnaptysBio’s equity plans consist of shares of AnaptysBio’s common stock. Accordingly, the amounts presented are not necessarily indicative of future stock-based compensation and do not necessarily reflect the amounts that we would have recorded as an independent, publicly traded company for the periods presented. The activity presented in the tables that follow this paragraph represent the stock options and stock units for AnaptysBio.</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 options granted to employees and non-employees generally vest over a four-year period while stock options granted to directors generally vest over a one-year period. Each stock option award has a maximum term of 10 years from the date of grant, subject to earlier cancellation prior to vesting upon cessation of service to us. A summary of the activity related to stock option awards during the three months ended March 31, 2026 is as follows:</w:t>
      </w:r>
    </w:p>
    <w:p>
      <w:pPr>
        <w:pStyle w:val="TextBody"/>
        <w:bidi w:val="0"/>
        <w:jc w:val="left"/>
        <w:rPr/>
      </w:pPr>
      <w:r>
        <w:rPr/>
        <w:t> </w:t>
      </w:r>
    </w:p>
    <w:tbl>
      <w:tblPr>
        <w:tblW w:w="8177" w:type="dxa"/>
        <w:jc w:val="left"/>
        <w:tblInd w:w="0" w:type="dxa"/>
        <w:tblLayout w:type="fixed"/>
        <w:tblCellMar>
          <w:top w:w="28" w:type="dxa"/>
          <w:left w:w="28" w:type="dxa"/>
          <w:bottom w:w="28" w:type="dxa"/>
          <w:right w:w="28" w:type="dxa"/>
        </w:tblCellMar>
      </w:tblPr>
      <w:tblGrid>
        <w:gridCol w:w="2656"/>
        <w:gridCol w:w="146"/>
        <w:gridCol w:w="146"/>
        <w:gridCol w:w="931"/>
        <w:gridCol w:w="166"/>
        <w:gridCol w:w="146"/>
        <w:gridCol w:w="230"/>
        <w:gridCol w:w="626"/>
        <w:gridCol w:w="146"/>
        <w:gridCol w:w="146"/>
        <w:gridCol w:w="293"/>
        <w:gridCol w:w="937"/>
        <w:gridCol w:w="146"/>
        <w:gridCol w:w="146"/>
        <w:gridCol w:w="239"/>
        <w:gridCol w:w="886"/>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Subject to</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6,897,768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Forfeitures and cancellations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6,782,664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Time-Based Restricted Stock Units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 The RSUs do not entitle the participants to the rights of holders of common stock, such as voting rights, until the shares are issued.</w:t>
      </w:r>
    </w:p>
    <w:tbl>
      <w:tblPr>
        <w:tblW w:w="9001" w:type="dxa"/>
        <w:jc w:val="left"/>
        <w:tblInd w:w="0" w:type="dxa"/>
        <w:tblLayout w:type="fixed"/>
        <w:tblCellMar>
          <w:top w:w="28" w:type="dxa"/>
          <w:left w:w="28" w:type="dxa"/>
          <w:bottom w:w="28" w:type="dxa"/>
          <w:right w:w="28" w:type="dxa"/>
        </w:tblCellMar>
      </w:tblPr>
      <w:tblGrid>
        <w:gridCol w:w="3391"/>
        <w:gridCol w:w="146"/>
        <w:gridCol w:w="146"/>
        <w:gridCol w:w="931"/>
        <w:gridCol w:w="166"/>
        <w:gridCol w:w="146"/>
        <w:gridCol w:w="254"/>
        <w:gridCol w:w="691"/>
        <w:gridCol w:w="146"/>
        <w:gridCol w:w="146"/>
        <w:gridCol w:w="293"/>
        <w:gridCol w:w="937"/>
        <w:gridCol w:w="146"/>
        <w:gridCol w:w="146"/>
        <w:gridCol w:w="267"/>
        <w:gridCol w:w="858"/>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Restricted</w:t>
              <w:br/>
              <w:t>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Forfeitures and cancellations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 expected to vest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1,394,430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Performance Stock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performance stock unit (“PSU”) represents one equivalent share of our common stock to be issued after achievement of the performance metrics specified in the grant. The following table presents a summary of activity with respect to our PSUs: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13"/>
        <w:gridCol w:w="146"/>
        <w:gridCol w:w="159"/>
        <w:gridCol w:w="754"/>
        <w:gridCol w:w="166"/>
        <w:gridCol w:w="146"/>
        <w:gridCol w:w="407"/>
        <w:gridCol w:w="1064"/>
        <w:gridCol w:w="146"/>
        <w:gridCol w:w="146"/>
        <w:gridCol w:w="160"/>
        <w:gridCol w:w="728"/>
        <w:gridCol w:w="167"/>
        <w:gridCol w:w="147"/>
        <w:gridCol w:w="407"/>
        <w:gridCol w:w="1064"/>
        <w:gridCol w:w="146"/>
        <w:gridCol w:w="146"/>
        <w:gridCol w:w="159"/>
        <w:gridCol w:w="754"/>
        <w:gridCol w:w="166"/>
        <w:gridCol w:w="146"/>
        <w:gridCol w:w="407"/>
        <w:gridCol w:w="1064"/>
        <w:gridCol w:w="197"/>
      </w:tblGrid>
      <w:tr>
        <w:trPr/>
        <w:tc>
          <w:tcPr>
            <w:tcW w:w="1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Market-Based PSUs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Performance-Based PSUs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PSUs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 Date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PSUs</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 Date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 Date</w:t>
              <w:br/>
              <w:t>Fair Value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(34,300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471,500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471,500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Market-Based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our PSUs is estimated as of the grant date of July 22, 2024, based upon the expected achievement of the performance metrics specified in the grant and the closing market price of our common stock on the date of grant. The grant date fair value is estimated using a Monte Carlo simulation using the following assumptions:</w:t>
      </w:r>
    </w:p>
    <w:tbl>
      <w:tblPr>
        <w:tblW w:w="5173" w:type="dxa"/>
        <w:jc w:val="left"/>
        <w:tblInd w:w="0" w:type="dxa"/>
        <w:tblLayout w:type="fixed"/>
        <w:tblCellMar>
          <w:top w:w="28" w:type="dxa"/>
          <w:left w:w="28" w:type="dxa"/>
          <w:bottom w:w="28" w:type="dxa"/>
          <w:right w:w="28" w:type="dxa"/>
        </w:tblCellMar>
      </w:tblPr>
      <w:tblGrid>
        <w:gridCol w:w="2356"/>
        <w:gridCol w:w="146"/>
        <w:gridCol w:w="560"/>
        <w:gridCol w:w="1795"/>
        <w:gridCol w:w="316"/>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compensation expense for the awards is recognized over the requisite service period regardless of whether the market conditions are achieved and will only be adjusted for pre-vesting forfeitures due to the termination of the recipient’s employment with the Company prior to the expiration of the requisite service period. The requisite service period over which the compensation expense will be recognized is July 22, 2024 through July 1, 2028.</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Performance-Based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performance-based stock units granted in 2026 vested in March 2026 based upon (i) continued service through the vesting date and (ii) the achievement of specific performance targets, as approved by the Board of Directors. There was no unrecognized compensation expense as of March 31,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estimated fair values of stock option awards granted were determined on the date of grant using the Black-Scholes option valuation model with the following weighted-average assumptions:</w:t>
      </w:r>
    </w:p>
    <w:p>
      <w:pPr>
        <w:pStyle w:val="TextBody"/>
        <w:bidi w:val="0"/>
        <w:jc w:val="left"/>
        <w:rPr/>
      </w:pPr>
      <w:r>
        <w:rPr/>
        <w:t> </w:t>
      </w:r>
    </w:p>
    <w:tbl>
      <w:tblPr>
        <w:tblW w:w="6611" w:type="dxa"/>
        <w:jc w:val="left"/>
        <w:tblInd w:w="0" w:type="dxa"/>
        <w:tblLayout w:type="fixed"/>
        <w:tblCellMar>
          <w:top w:w="28" w:type="dxa"/>
          <w:left w:w="28" w:type="dxa"/>
          <w:bottom w:w="28" w:type="dxa"/>
          <w:right w:w="28" w:type="dxa"/>
        </w:tblCellMar>
      </w:tblPr>
      <w:tblGrid>
        <w:gridCol w:w="4021"/>
        <w:gridCol w:w="146"/>
        <w:gridCol w:w="1071"/>
        <w:gridCol w:w="231"/>
        <w:gridCol w:w="1142"/>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grant date fair value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historical option term. Expected volatility incorporates the historical volatility of our stock price.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Stock-based compensation expense was allocated to us using a proportionate cost allocation method, which management believes is consistent and reasonable. For the research and development portion, costs were allocated using the percentage of external research and development costs as the allocation driver. For the general and administrative portion, costs were allocated similarly to the allocation of research and development costs, with a portion allocated based on estimated employee headcount.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Stock-based compensation expense under AnaptysBio’s 2017 Plan allocated to us and included within our combined statements of operations consisted of the following (in thousands):</w:t>
      </w:r>
    </w:p>
    <w:p>
      <w:pPr>
        <w:pStyle w:val="TextBody"/>
        <w:bidi w:val="0"/>
        <w:jc w:val="left"/>
        <w:rPr/>
      </w:pPr>
      <w:r>
        <w:rPr/>
        <w:t> </w:t>
      </w:r>
    </w:p>
    <w:tbl>
      <w:tblPr>
        <w:tblW w:w="6586" w:type="dxa"/>
        <w:jc w:val="left"/>
        <w:tblInd w:w="0" w:type="dxa"/>
        <w:tblLayout w:type="fixed"/>
        <w:tblCellMar>
          <w:top w:w="28" w:type="dxa"/>
          <w:left w:w="28" w:type="dxa"/>
          <w:bottom w:w="28" w:type="dxa"/>
          <w:right w:w="28" w:type="dxa"/>
        </w:tblCellMar>
      </w:tblPr>
      <w:tblGrid>
        <w:gridCol w:w="3651"/>
        <w:gridCol w:w="146"/>
        <w:gridCol w:w="258"/>
        <w:gridCol w:w="827"/>
        <w:gridCol w:w="178"/>
        <w:gridCol w:w="178"/>
        <w:gridCol w:w="258"/>
        <w:gridCol w:w="699"/>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6,957</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11,503</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Segment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operate as one reportable segment focused on research and development activities to deliver immunology therapeutics for autoimmune and inflammatory diseases. Segment profit or loss is measured as the net loss reported on our combined Statements of Operations and Comprehensive Loss and net loss is used to monitor results. The measure of segment assets is reported on our combined Balance Sheets as total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chief executive decision maker ("CODM") is our Chief Executive Officer. The CODM manages the business activities on a combined basis in making decisions regarding resource allocation and performance assessment.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is a summary of segment loss and our significant expenses (in thousands):</w:t>
      </w:r>
    </w:p>
    <w:p>
      <w:pPr>
        <w:pStyle w:val="TextBody"/>
        <w:bidi w:val="0"/>
        <w:jc w:val="left"/>
        <w:rPr/>
      </w:pPr>
      <w:r>
        <w:rPr/>
        <w:t> </w:t>
      </w:r>
    </w:p>
    <w:tbl>
      <w:tblPr>
        <w:tblW w:w="6791" w:type="dxa"/>
        <w:jc w:val="left"/>
        <w:tblInd w:w="0" w:type="dxa"/>
        <w:tblLayout w:type="fixed"/>
        <w:tblCellMar>
          <w:top w:w="28" w:type="dxa"/>
          <w:left w:w="28" w:type="dxa"/>
          <w:bottom w:w="28" w:type="dxa"/>
          <w:right w:w="28" w:type="dxa"/>
        </w:tblCellMar>
      </w:tblPr>
      <w:tblGrid>
        <w:gridCol w:w="3656"/>
        <w:gridCol w:w="146"/>
        <w:gridCol w:w="229"/>
        <w:gridCol w:w="801"/>
        <w:gridCol w:w="180"/>
        <w:gridCol w:w="158"/>
        <w:gridCol w:w="229"/>
        <w:gridCol w:w="801"/>
        <w:gridCol w:w="591"/>
      </w:tblGrid>
      <w:tr>
        <w:trPr/>
        <w:tc>
          <w:tcPr>
            <w:tcW w:w="3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External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ANB033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Rosnilimab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ANB101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ANB032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Preclinical and other unallocated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Total External R&amp;D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Total Internal R&amp;D</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External G&amp;A</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Internal G&amp;A</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10,135</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G&amp;A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52,811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51,280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(52,811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(51,280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(50,484</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(47,196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External R&amp;D consists of costs associated with our research and development activities, including drug discovery efforts, preclinical and clinical development of our programs, manufacturing, and allocated facility-related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Internal R&amp;D and G&amp;A consist of salaries and wages, stock-based compensation, recruiting and other employee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G&amp;A consists of general and administrative expenses including legal services, insurance, professional fees for auditing, tax, and market research, and allocated facility-related costs not otherwise included in research and development expenses.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Subsequent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20, 2026, AnaptysBio completed the Spin-Off. The Spin-Off was achieved through AnaptysBio’s pro rata distribution of all of the outstanding shares of common stock of First Tracks Biotherapeutics to holders of record of AnaptysBio’s common stock. Each holder of record of AnaptysBio’s common stock received one share of First Tracks Biotherapeutics’ common stock for every one share of AnaptysBio’s common stock held on April 6, 2026, the record date for the distribution. On April 20, 2026, First Tracks Biotherapeutics’ shares of common stock began trading on the Nasdaq Stock Market LLC under the ticker symbol “TRAX.”</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the Distribution Date, the 2026 Equity Incentive Plan with 4,169,861 shares (plus the shares subject to substitution awards granted pursuant to the Separation and Distribution Agreement) reserved for issuance and 2026 Employee Stock Purchase Plan with 347,488 shares reserved for issuance became effective.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20, 2026, the Company completed the previously announced private placement contemplated by that certain purchase agreement (the “Purchase Agreement”) by and among the Company, EcoR1 Capital Fund Qualified, L.P. (the “Selling Stockholder”) and certain third party investors (collectively, the “Investors”), pursuant to which the Company agreed to issue and sell an aggregate of 5,791,479 shares of the Company’s common stock (the “Primary Shares”), and the Selling Stockholder agreed to sell an aggregate of 4,705,575 shares of the Company’s common stock (the “Secondary Shares”) that the Selling Stockholder received in the Spin-Off, at a purchase price of $13.81 per share (the “Private Placement”). The aggregate gross proceeds to First Tracks Biotherapeutics from the sale of the Primary Shares was approximately $80 million, before deducting offering expenses. First Tracks Biotherapeutics did not receive any proceeds from the sale of the Secondary Shares.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Separation and Distribution Agreement, on the Distribution Date, $100 million in cash and cash equivalents was allocated to us from AnaptysBio. Furthermore, all accounts payable and accrued liabilities were assumed by AnaptysBio.</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forward-looking statements in this Quarterly Report include, among other things, statements about: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 cost, and timing of our product candidate development activities and ongoing and planned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plans and ability to develop and commercialize antibodies;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likelihood that the clinical data generated in any study we performed, are performing, or plan to perform in a non-U.S. jurisdiction will be subsequently accepted by the U.S. Food and Drug Administration (the “FDA”) and/or by foreign regulatory authorities outside of the jurisdiction where the study was being performed;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potential benefits and advantages of our product candidates and approaches versus those of our competitors;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 of competing therapies that are or may become available;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of and the ability to obtain and maintain regulatory approvals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rate and degree of market acceptance and clinical utility of any approved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size and growth potential of the markets for any approved product candidates, and our ability to serve those markets;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developments in the United States and foreign countries;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impact of political, economic or public health events on our business and the U.S. and global economies;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attract and retain key scientific or management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macroeconomic factors, including volatility in equity markets, fluctuations in interest rates and foreign exchange rates and political and regulatory developments or changes in trade policy, including tariffs;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obtain funding for our operations on favorable terms or at all, including funding necessary to complete further development and commercialization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future benefits or costs of the Company’s recent separation from AnaptysBio, Inc. into two independent, publicly traded companies (the “Spin-Off”);</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risk of significant volatility in our stock price or an active trading market for shares of our common stock not developing or being sustained;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forward-looking statements are subject to a number of risks, uncertainties, and assumptions, including those described in Part II, Item 1A, “Risk Factors,” and elsewhere in this Quarterly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this Quarterly Report with the understanding that our actual future results, levels of activity, performance, and events and circumstances may be materially different from what we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the context indicates otherwise, as used in this Quarterly Report, when we refer to “we”, “us”, “our,” or the “Company,” we refer to First Tracks Biotherapeutics following the Spin-Off and the combined company with AnaptysBio prior to the Spin-Off. First Tracks Biotherapeutics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our unaudited combined financial statements and related notes for the three months ended March 31, 2026, included in Part I, Item 1 of this Quarterly Report and with our audited combined financial statements and related notes thereto for the year ended December 31, 2025 included in our Form 10 filed with the Securities and Exchange Commission on March 27, 2026.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Spin-Off from AnaptysBio, Inc.</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September 2025, AnaptysBio, Inc. announced its intention to separate its business into two independent, publicly traded companies (the “Spin-Off”). The spun-out company, First Tracks Biotherapeutics, would be a clinical-stage biotechnology company focused on the development and potential commercialization of innovative therapeutics for autoimmune and inflammatory diseases, including ANB033, rosnilimab and ANB101. AnaptysBio, Inc. would hold and continue to manage the financial collaboration for </w:t>
      </w:r>
      <w:r>
        <w:rPr>
          <w:rFonts w:ascii="Times New Roman" w:hAnsi="Times New Roman"/>
          <w:i/>
          <w:color w:val="000000"/>
          <w:sz w:val="20"/>
        </w:rPr>
        <w:t xml:space="preserve">Jemperli </w:t>
      </w:r>
      <w:r>
        <w:rPr>
          <w:rFonts w:ascii="Times New Roman" w:hAnsi="Times New Roman"/>
          <w:color w:val="000000"/>
          <w:sz w:val="20"/>
        </w:rPr>
        <w:t>with GSK and for imsidolimab with Vanda, with a focus on protecting and returning value of the royalties to its stockholders. As part of the Spin-Off, AnaptysBio, Inc. transferred the assets, liabilities and operations of its biopharma development business to First Tracks Biotherapeutics. The Spin-Off was approved by the AnaptysBio, Inc Board and completed on April 20,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First Tracks Biotherapeutics’ historical combined financial statements have been prepared on a standalone basis and are derived from AnaptysBio, Inc.’s consolidated financial statements and accounting records. Therefore, these financial statements reflect, in conformity with U.S. generally accepted accounting principles (“U.S. GAAP”), First Tracks Biotherapeutics’ combined financial position, results of operations and cash flows as the business was historically operated as part of AnaptysBio, Inc. prior to the Spin-Off. They may not be indicative of First Tracks Biotherapeutics’ future performance and do not necessarily reflect what First Tracks Biotherapeutics’ combined financial position, results of operations and cash flows would have been had First Tracks Biotherapeutics operated as a separate, publicly traded company during the periods presented, particularly because the Company expects that changes will occur in our operating structure and its capitalization as a result of the separation from AnaptysBio,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First Tracks Biotherapeutics’ combined statements of operations reflect allocations of certain expenses, including research and development expenses and administrative expenses, and allocations of certain assets and liabilities from the financial statements of AnaptysBio, Inc., as applicable. Management believes these cost allocation methods are reasonable and reflect the services provided to First Tracks Biotherapeutics during the periods presented. The allocations may not, however, be indicative of the actual expenses that would have been incurred had First Tracks Biotherapeutics operated as a standalone public company. Related party cost allocations are further described in Note 5. Related-Party Transactions to the combined financial statements. First Tracks Biotherapeutics expects to provide some of the services related to these general and administrative functions to AnaptysBio, Inc. on a transitional basis following the Spin-Off. These services will be provided under the Transition Services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entered into a Separation and Distribution Agreement and a Transition Services Agreement with AnaptysBio, Inc. to govern the Spin-Off and our relationship with AnaptysBio, Inc. following the Spin-Off. These agreements will provide for the allocation between First Tracks Biotherapeutics and AnaptysBio, Inc. of AnaptysBio, Inc.’s assets, employees, liabilities and obligations (including its property, employee benefits and tax-related assets and liabilities) attributable to periods prior to, at and after the Spin-Off and will govern certain relationships between First Tracks Biotherapeutics and AnaptysBio, Inc. after the Spin-Off.</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Private Placement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third-party investors (the “Private Placement Investors”) purchased shares of First Tracks Biotherapeutics common stock from First Tracks Biotherapeutics and EcoR1 Capital Fund Qualified, L.P. (the “Selling Stockholder”) in the private placement that closed on April 20, 2026 (the “Private Placement”). Pursuant to the purchase agreement by and between First Tracks Biotherapeutics, the Selling Stockholder and the Private Placement Investors, First Tracks Biotherapeutics issued and sold an aggregate 5,791,479 shares of First Tracks Biotherapeutics common stock and the Selling Stockholder sold an aggregate of 4,705,575 shares of First Tracks Biotherapeutics common stock (the “Secondary Shares”) that the Selling Stockholder received in the Spin-Off to the Private Placement Investors in the Private Placement, at a purchase price of $13.81 per share. The aggregate gross proceeds to First Tracks Biotherapeutics from the sale of the Primary Shares was approximately $80 million, before deducting offering expenses. The Private Placement closed immediately after the closing of the Spin-Off. Leerink Partners LLC and Barclays Capital Inc. served as placement agents for the Private Placement and received a placement fee from the Company in connection therewith.</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clinical stage biotechnology company advancing antibody therapies that modulate immune pathways implicated in autoimmune and inflammatory diseases. Our pipeline includes ANB033, a CD122 antagonist in development for celiac disease and eosinophilic esophagitis; rosnilimab, a pathogenic T cell depleter in development for rheumatoid arthritis; and ANB101, a BDCA2 modulator.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Wholly Owned Clinical-Stage Pipeline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antibodies are in development to treat autoimmune and inflammatory diseases. We believe these molecules have potential applicability across a broad range of autoimmune and inflammatory diseases, including in gastroenterology, rheumatology, dermatology, respiratory, and other therapeutic areas.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ANB033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ANB033 is an antagonist of CD122, the common beta subunit shared by the IL-15 and IL-2 receptors. IL-15 and IL-2 signaling mediate the proliferation and survival of subsets of CD8+ and CD4 T+ cells, NK cells, as well as ILC2s. ANB033 is an antibody designed with an optimal epitope and affinity to CD122 that inhibits IL-15 and IL-2 signaling through both the intermediate affinity IL-2 receptor (comprised of CD122 and the common gamma subunit, CD132) and the high affinity IL-2 receptor (comprised of CD122, CD132 and the alpha receptor subunit for IL-2, CD25) expressed by activated CD4 Th1 and Th2 T cells as well as ILC2. Antagonizing CD122 has the potential to achieve and maintain remission of inflammation through the reduction of disease-causing cytolytic CD8 T cell subsets, including intraepithelial lymphocytes (“IELs”), NK cells and reducing inflammatory cytokine secretion by activated CD4+ Th1 and Th2 cells, as well as ILC2 cells.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announced top-line data from a healthy volunteer Phase 1a trial of ANB033 in October 2025 that demonstrated no safety concerns at any dose and a rapid and sustained PK profile. A total of 80 subjects were enrolled in the randomized, double-blind, placebo-controlled healthy volunteer Phase 1 trial, where SAD cohorts received SC or IV single doses of ANB033 or placebo, while MAD cohorts received four weekly SC doses of ANB033. ANB033 was generally well-tolerated and no SAE discontinuations or dose-limiting toxicities were observed in the study. ANB033 demonstrated an estimated two-to-three week half-life and full receptor occupancy for SC and IV routes of administration. A dose response was observed on relevant PD biomarkers. We observed responsive effects in the peripheral blood with both IV and SC modes of administration. In this trial, treatment with ANB033 resulted in: 1) a 70-75% reduction in CD122-expressing CD8 T cells, which did not result in a meaningful reduction in overall CD8 T cells; 2) effectively elimination of all CD122-expressing NK cells, but the overall NK cell count remained above the levels believed to be needed to maintain immune competency as not all NK cells in humans express CD122 and 3) no observed overall reductions on regulatory T cell counts.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conducting a randomized placebo-controlled 60-patient, global Phase 1b trial cohort of ANB033 in celiac disease (“CeD”). This trial will assess both a cohort of patients with baseline villus height to crypt depth (“Vh:Cd”) ratio greater than 2.0 in a gluten-challenge to assess prevention of further mucosal damage, as well as a cohort of patients with a Vh:Cd ratio less than 2.0, who will not be subjected to a gluten-challenge, to assess the ability to heal mucosal damage in symptom-controlled patients. The two distinct cohorts will enroll 30 patients each, randomized 1:1 between one dose level of subcutaneously administered ANB033 dose and placebo. Key assessments include safety and tolerability, efficacy assessments including the change in Vh:Cd ratio, IEL counts, and PROs, such as the Celiac Disease Symptom Diary (“CDSD”), as well as PK and immunogenicity.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conducting a global Phase 1b trial cohort of ANB033 in eosinophilic esophagitis (“EoE”). We intend the cohort to enroll 50 patients, randomized 1:1 between one dose level of subcutaneously administered ANB033 dose and placebo, who have histologic evidence of EoE with peak eosinophil count ≥15/hpf at the screening endoscopy and with symptomatic dysphagia. Key assessments include safety and tolerability, efficacy assessments including the DSQ and peak eos/hpf, as well as PK and immunogenicity.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Rosnilimab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Rosnilimab is an IgG1 antibody that directly targets pathogenic T cells, such as activated Tph/Tfh and T effector cells, in the periphery or inflamed tissue. These T cells, when activated, proliferate and migrate, and secrete the inflammatory cytokines that are the drivers of autoimmune and inflammatory diseases. Rosnilimab is designed to selectively deplete pathogenic T cells in both inflamed tissue and the periphery while sparing non-pathogenic T cells, including naïve T cells, to preserve overall immune function and restore immune homeostasis. This drives specific immunological outcomes, such as a reduction in T cell proliferation, migration and cytokine secretion, and a reduction of plasma cell generation and autoantibody levels. We announced top-line data from a healthy volunteer Phase 1 trial of rosnilimab in November 2021 that supported advancement of rosnilimab into subsequent patient trials. A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of 144 subjects were enrolled in the randomized, double-blind, placebo-controlled healthy volunteer Phase 1 trial, where single ascending dose (“SAD”) cohorts received subcutaneous (“SC”) or intravenous (“IV”) single doses of rosnilimab up to 600mg or placebo, while multiple ascending dose (“MAD”) cohorts received four weekly subcutaneous doses of rosnilimab ranging up to 400mg or placebo. Rosnilimab was generally well-tolerated and no dose-limiting toxicities were observed. Rosnilimab demonstrated a sustained systemic exposure and dose-proportionality with an estimated two-week half-life for subcutaneous and IV routes of administration.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2025, we announced initial data that was updated in June 2025, from rosnilimab’s randomized, placebo-controlled, global 424-patient, Phase 2b clinical trial for moderate-to-severe rheumatoid arthritis. Patients were randomized to receive either 100mg of subcutaneous rosnilimab every four weeks (Q4W), 400mg Q4W, 600mg every two weeks, or placebo.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three-month placebo-controlled period, the trial achieved its primary endpoint by observing the reduction of disease activity using the disease activity score, 28 joints (DAS-28) C-Reactive Protein (“CRP”) score as well as ACR20 response (an accepted Phase 3 registrational endpoint), at Week 12 in all three doses of rosnilimab compared to placebo. Rosnilimab achieved its secondary endpoint by demonstrating statistical significance in at least one dose and numerical superiority at all doses, including once monthly administration, on ACR20, ACR50 and with respect to the clinical disease activity index (“CDAI”) low disease activity (“LDA”) score at Week 12. Specifically, at Week 12, ACR20 achieved statistical significance at 100 mg (p &lt; 0.05), 400 mg (p &lt; 0.01), and 600 mg (p &lt; 0.001); ACR50 achieved statistical significance at 600 mg (p &lt; 0.05); and CDAI LDA achieved statistical significance at 100 mg (p &lt; 0.05) and 400 mg (p &lt; 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completion of the Week 14 visit, 69% (or 220 of the 318) rosnilimab-treated patients who achieved CDAI LDA at this timepoint continued their assigned treatment through six months in a blinded, all-active treatment period. At six months, rosnilimab results demonstrated deepening of responses through six months on CDAI LDA, CDAI remission and ACR70 and independent of prior treatments, including anti-TNFα, anti-IL6R or JAK inhibitors. Importantly, this was particularly observed in b/tsDMARD-experienced patients for the 400mg Q4W and 600mg Q2W doses, showing a dose response relative to the 100mg Q4W dose. Furthermore, Week 28 clinical responses across multiple measures, including CDAI LDA, mean CDAI, mean DAS28-CRP and ACR50/70, were durable off-drug through at least three months after the last rosnilimab dose, results which we believe suggest the potential for extended dosing (e.g., Q8W/Q12W) after initial monthly dosing. Due to the trial design, max response rates for rosnilimab have not yet been observed as strict criteria at Week 14, which prevented additional patients with meaningful improvement from continuing treatment in the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completed an End-of-Phase 2 (EOP2) meeting with the FDA in the first quarter of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table summarizing the results for primary and secondary endpoints follows:</w:t>
      </w:r>
    </w:p>
    <w:p>
      <w:pPr>
        <w:pStyle w:val="TextBody"/>
        <w:bidi w:val="0"/>
        <w:jc w:val="left"/>
        <w:rPr/>
      </w:pPr>
      <w:r>
        <w:rPr/>
        <w:t> </w:t>
      </w:r>
    </w:p>
    <w:tbl>
      <w:tblPr>
        <w:tblW w:w="9849" w:type="dxa"/>
        <w:jc w:val="left"/>
        <w:tblInd w:w="0" w:type="dxa"/>
        <w:tblLayout w:type="fixed"/>
        <w:tblCellMar>
          <w:top w:w="28" w:type="dxa"/>
          <w:left w:w="28" w:type="dxa"/>
          <w:bottom w:w="28" w:type="dxa"/>
          <w:right w:w="28" w:type="dxa"/>
        </w:tblCellMar>
      </w:tblPr>
      <w:tblGrid>
        <w:gridCol w:w="4471"/>
        <w:gridCol w:w="146"/>
        <w:gridCol w:w="168"/>
        <w:gridCol w:w="612"/>
        <w:gridCol w:w="166"/>
        <w:gridCol w:w="146"/>
        <w:gridCol w:w="225"/>
        <w:gridCol w:w="810"/>
        <w:gridCol w:w="166"/>
        <w:gridCol w:w="146"/>
        <w:gridCol w:w="194"/>
        <w:gridCol w:w="841"/>
        <w:gridCol w:w="166"/>
        <w:gridCol w:w="146"/>
        <w:gridCol w:w="225"/>
        <w:gridCol w:w="810"/>
        <w:gridCol w:w="41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Efficacy Measure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Placebo</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Rosnilimab</w:t>
              <w:br/>
              <w:t>100mg Q4W</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Rosnilimab</w:t>
              <w:br/>
              <w:t>400mg Q4W</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Rosnilimab</w:t>
              <w:br/>
              <w:t>600mg Q2W</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(N=105)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38"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Primary Endpoint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DAS28-CRP at Week 12 (mean change from baseline)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438"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Select Secondary Endpoint^ </w:t>
              <w:br/>
              <w:t>(% of participants)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ACR20 at Week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ACR50 at Week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Week 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ACR70 at Week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Week 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CDAI ≤10 (LDA) at Week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Week 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38"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Select Exploratory Endpoints </w:t>
              <w:br/>
              <w:t>(Mean Change from Baseline)</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DAS28-CRP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Week 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hs-CRP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Week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Week 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Patient Global Assessment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Week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Week 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HAQ-DI (range 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Week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Week 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Pain VAS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Week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Week 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p-value indicates the probability of observing the reported results if there is no difference without treatment (i.e., the null hypothesis is true). Smaller p-values indicate stronger evidence of statistical evidence.</w:t>
      </w:r>
    </w:p>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*p&lt;0.05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**p&lt;0.01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***p&lt;0.001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outcomes were further substantiated by objective translational data. An approximately 50% reduction in the mean CRP from baseline, an objective measure of inflammation, was observed through Week 28 in rosnilimab patients who entered the all-active period. Additionally, translational blood and synovial biopsy biomarker data showed differentiated and consistent immunological impact with on-target pharmacological activity in rosnilimab patients that was not observed on placebo. In blood, rosnilimab demonstrated rapid, deep and sustained reductions of approximately 90% in pathogenic T cells (largely Tph, Tph and Teff cells), and an increase in total Tregs. Additionally, synovial biopsies of the most impacted joint taken at baseline and after six weeks showed a deep reduction of approximately 90% in pathogenic T cells (largely Tph cells) at the 400mg Q4W and 600mg Q2W doses, showing a dose response relative to the 100mg Q4W dose.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Consistent with prior rosnilimab studies, all rosnilimab doses through end-of-trial follow up at week 38 demonstrated no treatment-related serious adverse events (“SAEs”), malignancies, anaphylaxis or systemic hypersensitivity, and a low incidence of injection site reactions. Most adverse events (“AEs”) were mild to moderate in severity. Less than 2% of patients in the trial discontinued rosnilimab due to an AE, including only one patient after three months for a moderate headache treated with over-the-counter pain medication. Non-treatment related SAEs observed were consistent with known RA patient history and comorbidities.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ANB101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ANB101 is a blood dendritic cell antigen 2 (“BDCA2”) modulator antibody that targets plasmacytoid dendritic cells (“pDCs”) and inhibits interferon secretion and modulates antigen presentation for the treatment of autoimmune and inflammatory diseases. BDCA2 is a molecule specifically expressed on pDCs, a class of immune cells which, while found in relatively small numbers in healthy individuals, are enriched in patients with a variety of inflammatory diseases, that is critical to the regulation of toll-like receptor signaling and interferon secretion. pDCs 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 BDCA2 has been implicated in the pathophysiology of systemic lupus erythematosus (“SLE”), where there exists mechanistic clinical proof of concept for pDC modulation.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initiated a Phase 1 clinical trial of ANB101 in healthy volunteers in March 2025 and the trial is ongoing. ANB101 preclinical data suggests it is a more potent antibody compared to litifilimab with a longer half-life that results in a deeper and more durable PD effect on pDC depletion.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certain key information about our wholly owned product candidates:</w:t>
      </w:r>
    </w:p>
    <w:p>
      <w:pPr>
        <w:pStyle w:val="TextBody"/>
        <w:bidi w:val="0"/>
        <w:jc w:val="center"/>
        <w:rPr/>
      </w:pPr>
      <w:r>
        <w:rPr/>
        <w:t> </w:t>
      </w:r>
    </w:p>
    <w:p>
      <w:pPr>
        <w:pStyle w:val="TextBody"/>
        <w:bidi w:val="0"/>
        <w:jc w:val="center"/>
        <w:rPr/>
      </w:pPr>
      <w:r>
        <w:rPr/>
        <w:drawing>
          <wp:inline distT="0" distB="0" distL="0" distR="0">
            <wp:extent cx="6858000" cy="395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952875"/>
                    </a:xfrm>
                    <a:prstGeom prst="rect">
                      <a:avLst/>
                    </a:prstGeom>
                  </pic:spPr>
                </pic:pic>
              </a:graphicData>
            </a:graphic>
          </wp:inline>
        </w:drawing>
      </w:r>
    </w:p>
    <w:p>
      <w:pPr>
        <w:pStyle w:val="TextBody"/>
        <w:bidi w:val="0"/>
        <w:jc w:val="center"/>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consist of costs associated with our research and development activities, preclinical and clinical development of our programs, and manufacturing. Our research and development expenses include: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External research and development expenses incurred under arrangements with third parties, such as contract research organizations (“CROs”), consultants, members of our scientific and therapeutic advisory boards, and contract manufacturing organizations (“CMOs”);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Employee-related expenses, including salaries, benefits, travel, and stock-based compensation;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Facilities, depreciation and other allocated expenses, which include direct and allocated expenses for rent and maintenance of facilities, depreciation of leasehold improvements and equipment, and laboratory supplies;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License and sub-license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incur in-process research and development expense as we acquire assets from other parties. Acquired in-process research and development costs that have no alternative future use are immediately expensed.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conducting research and development activities primarily on inflammation programs. We have a research and development team that conducts antibody characterization, translational studies, Investigational New Drug (“IND”)-enabling preclinical studies, and clinical development. We conduct some of our preclinical activities internally and plan to rely on third parties, such as CROs and CMOs, for the execution of certain of our research and development activities, such as in vivo toxicology and pharmacology studies, drug product manufacturing, and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research and development expenses to fluctuate for the foreseeable future as we continue to advance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transaction costs, and professional fees for auditing, tax, and legal services.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consists primarily of interest earned on our short-term and long-term investments and is recognized when earned.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are based on our financial statements, which have been prepared in accordance with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Form 10 filed with the SEC on March 27,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JOBS Act Accounting Election and Smaller Reporting Company Status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an emerging growth company (“EGC”). The Jumpstart Our Business Startups Act (the “JOBS Act”) contains provisions that, among other things, reduce certain reporting requirements for an EGC. We have elected to use this extended transition period for complying with certain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audited combined financial statements may not be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comparable to companies that comply with the new or revised accounting pronouncements as of public company effective dates. Refer to Note 2 to our combined financial statements included elsewhere in this Quarterly Report for additional information regarding new or revised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rely on the other exemptions and reduced reporting requirements provided by the JOBS Act. Subject to certain conditions set forth in the JOBS Act, as an “emerging growth company” we are not required to, among other things, (i) provide an auditor’s attestation report on our system of internal control over financial reporting pursuant to Section 404 of the Sarbanes-Oxley Act; (ii) provide all of the compensation disclosure that may be required of non-emerging growth public companies; (iii) comply with certain types of new requirements adopted by the Public Company Accounting Oversight Board; and (iv) disclose certain executive compensation-related items, such as the correlation between executive compensation and performance and comparisons of the chief executive officer’s compensation to median employee compensation. We may remain an “emerging growth company” until the last day of the fiscal year following the fifth anniversary of the completion of the Spin-Off. However, if certain events occur prior to the end of such five-year period, including if we become a “large accelerated filer,” our annual gross revenue equals or exceeds $1.235 billion or we issue more than $1.0 billion of non-convertible debt in any three-year period, we will cease to be an “emerging growth company” prior to the end of such five-year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 “smaller reporting company,” as defined by applicable rules of the SEC. We may continue to be a smaller reporting company even after we are no longer an emerging growth company. We intend to take advantage of certain of the scaled disclosures available to smaller reporting companies and will be able to take advantage of these scaled disclosures for so long as shares of our voting and non-voting common stock held by non-affiliates is less than $250.0 million measured on the last business day of our second fiscal quarter, or our annual revenue is less than $100.0 million during the most recently completed fiscal year and shares of our voting and non-voting common stock held by non-affiliates is less than $700.0 million measured on the last business day of our second fiscal quarter.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Operations—Comparison of the Three Months Ended March 31, 2026 and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$34.0 million during the three months ended March 31, 2026 compared to $41.5 million during the three months ended March 31, 2025, a decrease of $7.5 million. The decrease is primarily attributable to an $8.4 million decrease in clinical expenses and a decrease of $0.9 million in other research and development expenses, offset by a $1.5 million increase in salaries and related costs, including an increase of $0.1 million in stock compensation expense, $0.2 million increase in manufacturing expenses and a $0.1 million increase in recruiting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stock-based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pStyle w:val="TextBody"/>
        <w:bidi w:val="0"/>
        <w:jc w:val="left"/>
        <w:rPr/>
      </w:pPr>
      <w:r>
        <w:rPr/>
        <w:t> </w:t>
      </w:r>
    </w:p>
    <w:tbl>
      <w:tblPr>
        <w:tblW w:w="7338" w:type="dxa"/>
        <w:jc w:val="left"/>
        <w:tblInd w:w="0" w:type="dxa"/>
        <w:tblLayout w:type="fixed"/>
        <w:tblCellMar>
          <w:top w:w="28" w:type="dxa"/>
          <w:left w:w="28" w:type="dxa"/>
          <w:bottom w:w="28" w:type="dxa"/>
          <w:right w:w="28" w:type="dxa"/>
        </w:tblCellMar>
      </w:tblPr>
      <w:tblGrid>
        <w:gridCol w:w="3456"/>
        <w:gridCol w:w="146"/>
        <w:gridCol w:w="211"/>
        <w:gridCol w:w="676"/>
        <w:gridCol w:w="166"/>
        <w:gridCol w:w="146"/>
        <w:gridCol w:w="211"/>
        <w:gridCol w:w="676"/>
        <w:gridCol w:w="146"/>
        <w:gridCol w:w="146"/>
        <w:gridCol w:w="211"/>
        <w:gridCol w:w="736"/>
        <w:gridCol w:w="41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ANB033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Rosnilimab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ANB101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ANB032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and other unallocated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and wages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were $18.9 million during the three months ended March 31, 2026 compared to $9.8 million during the three months ended March 31, 2025, an increase of approximately $9.1 million. The increase is primarily due to a $4.7 million increase in personnel costs, including an increase of $3.6 million in stock compensation expense, a $3.8 million increase in legal expenses, and a $0.7 million increase in other general and administrative expenses, offset by a $0.1 million decrease in market research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our general and administrative expenses may increase for the foreseeable future as we incur costs associated with stock compensation expense, legal, auditing and filing fees, additional insurance premiums, investor relations expenses and general compliance and consulting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was $2.3 million and $4.1 million during the three months ended March 31, 2026 and 2025, respectively, which primarily related to our short-term and long-term investments. The decrease in interest income is primarily due to the decrease in investment balances, as well as the timing of sales, maturities and purchases of our investments.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expense, net was less than $0.1 million during the three months ended March 31, 2026 and 2025,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and prior to the Spin-Off, we had $286.5 million in cash and cash equivalents.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working capital requirements and capital expenditures have historically been satisfied as part of AnaptysBio, Inc.’s corporate-wide cash management and centralized funding programs. This arrangement is not reflective of the manner in which we would have financed our operations had we been a standalone public company during the periods presented. Following the Spin-Off, we expect to incur significant expenses and operating losses for the foreseeable future as we continue the clinical development of our programs and our research activities. We have not yet commercialized any products and we do not expect to generate revenue from sales of products in the near future, if at all.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Funding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and cash equivalents totaled $286.5 million as of March 31, 2026, compared to $311.6 million as of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current plans, we believe that our existing cash, cash equivalents and investments will fund our current operating plan for at least the next 12 months from the issuance of our combined financial statements. We have based this estimate on assumptions that may prove to be wrong, and we could use our capital resources sooner than we expect and we may fail to complete development of one or more of our products. Additionally, the process of testing product candidates in clinical trials and seeking regulatory approval is costly, and the timing of progress and expenses in these trials is uncertain.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cash flows for the three months ended March 31, 2026 and 2025:</w:t>
      </w:r>
    </w:p>
    <w:p>
      <w:pPr>
        <w:pStyle w:val="TextBody"/>
        <w:bidi w:val="0"/>
        <w:jc w:val="left"/>
        <w:rPr/>
      </w:pPr>
      <w:r>
        <w:rPr/>
        <w:t> </w:t>
      </w:r>
    </w:p>
    <w:tbl>
      <w:tblPr>
        <w:tblW w:w="7076" w:type="dxa"/>
        <w:jc w:val="left"/>
        <w:tblInd w:w="0" w:type="dxa"/>
        <w:tblLayout w:type="fixed"/>
        <w:tblCellMar>
          <w:top w:w="28" w:type="dxa"/>
          <w:left w:w="28" w:type="dxa"/>
          <w:bottom w:w="28" w:type="dxa"/>
          <w:right w:w="28" w:type="dxa"/>
        </w:tblCellMar>
      </w:tblPr>
      <w:tblGrid>
        <w:gridCol w:w="4321"/>
        <w:gridCol w:w="146"/>
        <w:gridCol w:w="229"/>
        <w:gridCol w:w="801"/>
        <w:gridCol w:w="180"/>
        <w:gridCol w:w="158"/>
        <w:gridCol w:w="229"/>
        <w:gridCol w:w="801"/>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10,273</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during the three months ended March 31, 2026 of $32.6 million was primarily due to our net loss of $50.5 million, adjusted for addbacks for non-cash expenses of $11.6 million, which includes depreciation and stock-based compensation, and net increases in working capital of $6.3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during the three months ended March 31, 2025 of $45.0 million was primarily due to our net loss of $47.2 million, adjusted for addbacks for non-cash expenses of $6.7 million, which includes depreciation, stock-based compensation, amortization of operating ROU assets, and income from marketable securities, and net decreases in working capital of $4.5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investing activities during the three months ended March 31, 2026 of $35.0 million, primarily relates to the timing of sales, maturities and purchases of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investing activities during the three months ended March 31, 2025 was $14.8 million, primarily due to the sale and maturities of investments of $137.4 million, offset by the acquisition of investments of $122.6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cash provided by financing activities during the three months ended March 31, 2026 and 2025 of $7.9 million and $5.7 million, respectively, was due to the net investment by AnaptysBio.</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pStyle w:val="TextBody"/>
        <w:bidi w:val="0"/>
        <w:spacing w:before="240" w:after="283"/>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there have been no material changes surrounding our market risk, including interest rate risk, inflation risk, and foreign currency exchange risk from the discussion provided in our amended Form 10 filed with the SEC on March 27, 2026.</w:t>
      </w:r>
    </w:p>
    <w:p>
      <w:pPr>
        <w:pStyle w:val="TextBody"/>
        <w:bidi w:val="0"/>
        <w:spacing w:before="24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March 31, 2026,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controls and procedures, no matter how well designed and operated, can provide only reasonable assurance of achieving the desired control objective, and our management necessarily applies its judgment in evaluating the cost-benefit relationship of possible controls and procedures. </w:t>
      </w:r>
    </w:p>
    <w:p>
      <w:pPr>
        <w:pStyle w:val="TextBody"/>
        <w:bidi w:val="0"/>
        <w:spacing w:before="24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identified in connection with the evaluation required by Rules 13a-15(d) and 15d-15(d) of the Exchange Act that occurred during the quarter ended March 31,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pStyle w:val="TextBody"/>
        <w:bidi w:val="0"/>
        <w:spacing w:before="24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in our common stock involves a high degree of risk. You should carefully consider the risks described below, as well as the other information in this Quarterly Report, including our combined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240" w:after="283"/>
        <w:jc w:val="left"/>
        <w:rPr>
          <w:rFonts w:ascii="Times New Roman" w:hAnsi="Times New Roman"/>
          <w:sz w:val="20"/>
        </w:rPr>
      </w:pPr>
      <w:r>
        <w:rPr>
          <w:rFonts w:ascii="Times New Roman" w:hAnsi="Times New Roman"/>
          <w:color w:val="000000"/>
          <w:sz w:val="20"/>
        </w:rPr>
        <w:t>An investment in shares of our common stock involves various risks. Please carefully consider the matters discussed in the section titled “</w:t>
      </w:r>
      <w:r>
        <w:rPr>
          <w:rFonts w:ascii="Times New Roman" w:hAnsi="Times New Roman"/>
          <w:i/>
          <w:color w:val="000000"/>
          <w:sz w:val="20"/>
        </w:rPr>
        <w:t>Risk Factors</w:t>
      </w:r>
      <w:r>
        <w:rPr>
          <w:rFonts w:ascii="Times New Roman" w:hAnsi="Times New Roman"/>
          <w:color w:val="000000"/>
          <w:sz w:val="20"/>
        </w:rPr>
        <w:t>” of this Quarterly Report for a description of the principal risks that we face. These risks include, but are not limited to,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in development may fail or suffer delays that adversely affect their commercial viability. Results from our initial clinical trials may not be representative of the results we will experience in later clinical trials. If we or any future collaborators are unable to complete development of or commercialize our product candidates or experience significant delays in doing so, our business will be materially harmed.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ongoing and planned clinical trials, or those of any future collaborators, may reveal significant adverse events, toxicities or other side effects and may result in a safety profile that could inhibit regulatory approval or market acceptance of any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any future collaborators may be unable to obtain, or may be delayed in obtaining, required regulatory approvals in the United States or in foreign jurisdictions, which would materially impair our ability to commercialize and generate revenue from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our product candidates receive regulatory approval, they will be subject to significant post-marketing regulatory requirements.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successful in our efforts to expand our pipeline of product candidates and develop marketable products.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 history of commercializing biotechnology products, which may make it difficult to evaluate the prospects for our future viability.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significant competition, and if our competitors develop and market products that are more effective, safer or less expensive than our product candidates, our commercial opportunities will be negatively impacted.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may not achieve adequate market acceptance among physicians, patients, health care payors and others in the medical community necessary for commercial success.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Political, economic or public health events may have a material impact on the U.S. and global economies and could have a material adverse impact on our employees, contractors and patients, which could adversely and materially impact our business, financial condition and results of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 operating revenue and a history of operational losses and may not achieve or sustain profitability.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 products approved for commercial sale, and to date we have not generated any revenue or profit from sales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require additional capital to finance our operations, which may not be available to us on acceptable terms, or at all. As a result, we may not complete the development and commercialization of our product candidates or develop new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succeed in establishing and maintaining additional development and commercialization collaborations, which could adversely affect our ability to develop and commercialize product candidates, including for rosnilimab in RA or other indications.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obtain or protect intellectual property rights in the U.S. and throughout the world, we may not be able to compete effectively in our market.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must attract and retain highly skilled employees in order to succeed.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unable to achieve some or all of the benefits that we expect to achieve from the Spin-Off.</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share price may fluctuate significantly, and you could lose all or part of your investment.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 recent history of operating as a standalone public company, and our historical financial information may not necessarily reflect the results that we would have achieved as a standalone public company or what our results may be in the future.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share some of our directors and executive officers with AnaptysBio, Inc. This overlap may give rise to certain conflicts of interest.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Discovery and Development of Our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product candidates in development may fail or suffer delays that adversely affect their commercial viability. Results from our initial clinical trials may not be representative of the results we will experience in later clinical trials. If we or any future collaborators are unable to complete development of or commercialize our product candidates or experience significant delays in doing so, our business will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developing therapeutic antibodies, including our wholly owned product candidates. However, all of our wholly owned product candidates are in various stages of development, and, for a wide variety of reasons discussed below, may fail in development or suffer delays that adversely affect their commercial viability.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we may conduct clinical trials of a product candidate in multiple indications based on assumptions about the product candidate’s mechanism of action. However, it is possible that our assumptions regarding the effectiveness of a product candidate’s mechanism of action may be incorrect and that the product candidate may be ineffective in certain diseases or disorders. If this were the case, then the results from any clinical trials of a product candidate that we conduct are less likely to be positive. For example, even though we showed positive data for rosnilimab in our Phase 2b clinical trial in rheumatoid arthritis, data from rosnilimab’s Phase 2 clinical trial in ulcerative colitis was not positive.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other ongoing or future clinical trials of any of our product candidates, including ANB033, rosnilimab or ANB101, are unsuccessful, whether for one of the reasons mentioned above or otherwise, our product candidates may be delayed in development or fail entirely, which would have a material adverse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 of our current product candidates, and any other product candidates we may develop in the future, will depend on many factors, including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regulatory permission to initiate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successful enrollment of patients in, and the completion of, our planned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receiving marketing approvals from applicable regulatory authorities;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establishing commercial manufacturing capabilities and/or making arrangements with third-party manufacturers;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and maintaining patent and trade secret protection and non-patent exclusivity for our product candidates and their components;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enforcing and defending intellectual property rights and claims;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achieving desirable therapeutic properties for our product candidates’ intended indications;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launching commercial sales of our product candidates, if and when approved, whether alone or in collaboration with third parties;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acceptance of our product candidates, if and when approved, by patients, the medical community and third-party payors;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effectively competing with other therapies;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maintaining an acceptable safety profile of our product candidates through clinical trials and following regulatory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do not achieve one or more of these factors in a timely manner or at all, we could experience significant delays or an inability to successfully commercialize our product candidates, which would harm our business.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ongoing and planned clinical trials or those of any future collaborators may reveal significant adverse events, toxicities or other side effects and may result in a safety profile that could inhibit regulatory approval or market acceptance of any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patients in our clinical trials have experienced adverse events, including SAEs. Subjects in our ongoing and planned clinical trials may in the future suffer significant adverse events or other side effects not observed in our preclinical studies or in our Phase 1, Phase 2 or Phase 3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or any future collaborators may incur additional costs or experience delays in completing, or ultimately be unable to complete, the development and commercialization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testing.</w:t>
      </w:r>
    </w:p>
    <w:p>
      <w:pPr>
        <w:pStyle w:val="TextBody"/>
        <w:bidi w:val="0"/>
        <w:spacing w:before="240" w:after="283"/>
        <w:jc w:val="left"/>
        <w:rPr>
          <w:rFonts w:ascii="Times New Roman" w:hAnsi="Times New Roman"/>
          <w:sz w:val="20"/>
        </w:rPr>
      </w:pPr>
      <w:r>
        <w:rPr>
          <w:rFonts w:ascii="Times New Roman" w:hAnsi="Times New Roman"/>
          <w:b/>
          <w:i/>
          <w:color w:val="000000"/>
          <w:sz w:val="20"/>
        </w:rPr>
        <w:t>We and/or any future collaborators may be unable to obtain, or may be delayed in obtaining, required regulatory approvals in the United States or in foreign jurisdictions, which would materially impair our ability to commercialize and generate revenue from our product candidates</w:t>
      </w:r>
      <w:r>
        <w:rPr>
          <w:rFonts w:ascii="Times New Roman" w:hAnsi="Times New Roman"/>
          <w:i/>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any future collaborators. The research, testing, manufacturing, labeling, approval, selling, marketing and distribution of drug and biologic products are subject to extensive regulation by the FDA and foreign regulatory authorities. Before commencing clinical trials in the United States for any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or any future collaborators initiate and complete clinical trials for our product candidates, these product candidates will not be permitted to be marketed in the United States until approval of a Biologics License Application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imposition of a clinical hold for safety reasons or following an inspection of clinical trial operations or site by the FDA or other regulatory authorities;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manufacturing challenges;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insufficient supply or quality of product candidates or other materials necessary to conduct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non-clinical or clinical sites becoming unavailable due to political, economic, or public health events;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sites electing to terminate their participation in one of our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inability or unwillingness of patients or medical investigators to follow clinical trial protocols;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required clinical trial administrative actions;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slower than anticipated patient enrollment;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changing standards of care;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safety concerns;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availability or prevalence of use of a comparative drug or required prior therapy;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outcomes or financial constraints.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any future collaborators experience any of the issues described above, or other similar or related issues, we or any future collaborators may: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 delayed in obtaining marketing approval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obtain marketing approval at all;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 marketing approval in some countries and not in others;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 approval with labeling that includes significant use or distribution restrictions or safety warnings, including boxed warnings;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 subject to additional post-marketing testing requirements;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have the product removed from the market after obtaining marketing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in June 2024, the U.S. Supreme Court reversed its longstanding approach under the Chevron doctrine, which provided for judicial deference to regulatory agencies, including the FDA.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this decision may result in more companies bringing lawsuits against the FDA to challenge longstanding decisions and policies of the FDA, which could undermine the FDA’s authority, lead to uncertainties in the industry, and disrupt the FDA’s normal operations, which could impact the timely review of any regulatory filings or applications we submit to the FDA.</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Even if our product candidates receive regulatory approval, they will be subject to significant post-marketing regulatory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regulatory approvals that we or any future collaborators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Current Good Manufacturing Practices (“cGMP”) regulations and good clinical practices for any clinical trials that we conduct post-approval. In addition, manufacturers of drug products and their facilities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are subject to continual review and periodic inspections by the FDA and other regulatory authorities for compliance with cGMP regulations and standards. If we, any future collaborators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or any future collaborators, including requiring recall or withdrawal of the product from the market or suspension of manufacturing. In addition, failure to comply with FDA and foreign regulatory requirements may, either before or after product approval, if any, subject our company or any future collaborators to administrative or judicially imposed sanctions,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restrictions on our ability to conduct clinical trials, including full or partial clinical holds on ongoing or planned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restrictions on the products, manufacturers or manufacturing process;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warning or untitled letters;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civil and criminal penalties;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injunctions;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suspension or withdrawal of regulatory approvals;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seizures, detentions or import bans;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voluntary or mandatory product recalls and publicity requirements;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or partial suspension of production;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imposition of restrictions on operations, including costly new manufacturing requirements;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refusal to approve pending BLAs or supplements to approved BLAs.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occurrence of any event or penalty described above may inhibit our ability, alone or with any future collaborators, to commercialize our product candidates and generate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Advertising and promotion of any product candidate that obtains approval in the United States will be heavily scrutinized by the FDA, the U.S. Department of Justice (“DOJ”), the U.S. Department of Health and Human Services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successful in our efforts to expand our pipeline of product candidates and develop marketable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we have limited financial and managerial resources, our business depends on our successful development and commercialization of the limited number of internal product candidates we have in preclinical and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successfully develop, partner and/or commercialize product candidates, we may not be able to obtain product or partnership revenue in future periods, which would adversely affect our business, prospects,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no history of commercializing biotechnology products, which may make it difficult to evaluate the prospects for our future viability.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operations to date have been largely limited to financing and staffing our company, and developing our wholly owned product candidates. We have only very limited experience conducting pivotal Phase 3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 owned product candidates will require significant additional financial and management resources, and reliance on third-party clinical investigators, CROs, consultants or collaborators. Relying on third-party clinical investigators, third-party manufacturing, CROs or collaborators may result in delays that are outside of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negative or inconclusive results from our clinical trials or the clinical trials of others for product candidates similar to ours, leading to a decision or requirement to conduct additional preclinical testing or clinical trials or abandon a program;</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suspension or termination of a clinical trial once commenced;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conditions imposed by the FDA or foreign regulatory authorities regarding the number, scope or design of our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in enrolling research subjects in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high drop-out rates of research subjects;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inadequate supply or quality of clinical trial materials or other supplies necessary for the conduct of our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greater than anticipated clinical trial costs;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poor effectiveness of our product candidates during clinical trials;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unfavorable FDA or other regulatory agency inspection and review of a clinical trial site;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failure of our third-party contractors or investigators to comply with regulatory requirements or otherwise meet their contractual obligations in a timely manner, or at all;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serious and unexpected, or otherwise unacceptable, drug-related side effects experienced by participants in our planned clinical trials or by individuals using drugs similar to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varying interpretations of data by the FDA and foreign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Consequently, any predictions you make about our future success or viability based on our operating history may not be as accurate as they could be if we had an established track record in conducting clinical trials or commercializing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as a clinical stage business, we may encounter unforeseen expenses, difficulties, complications, delays, and other known and unknown factors. We will need to transition from a company with a research and development focus to a company capable of supporting commercial activities. We may not be successful in such a transition.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significant competition, and if our competitors develop and market products that are more effective, safer or less expensive than our product candidates, our commercial opportunities will be negatively impacted.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biotechnology industry is highly competitive and subject to rapid and significant technological change. Products we may develop in the future are also likely to face competition from other drugs and therapies, some of which we may not currently be aware of.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our anti-CD122 antagonist antibody program, our clinical competitors include an anti-CD122 antagonist antibody, FB-102 (Forte Bioscience) in Phase 2a development for the treatment of CeD, Phase 1b development for the treatment of vitiligo, and Phase 1b development for the treatment of alopecia areata, and two anti-IL-15 monoclonal antibodies, GIA632 (Novartis) in Phase 2 development for atopic dermatitis, Phase 2 development for vitiligo, and with proof-of-concept, Phase 1b data for the treatment of CeD and EoE, and TEV-53408 (Teva), in Phase 2 development for the treatment of CeD and vitiligo. To date, there are no FDA-approved therapies for the treatment of celiac disease and only one FDA-approved biologic, Dupixent, for the treatment of EoE.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rosnilimab, our competitors include non-depleting PD-1 agonist antibodies, GS-0151 (Gilead) in Phase 1b development for the treatment of rheumatoid arthritis, and S-4321 (Seismic Therapeutics) in Phase 1 development. Our commercial-stage competitors in moderate-to-severe rheumatoid arthritis include monoclonal antibodies targeting anti-TNF (Humira; Abbvie), IL-6 (Actemra; Roche and Kevzara; Regeneron), CD-80/86 (Orencia; BMS), CD-20 (Rituxan; Roche), and janus kinase inhibitors (Rinvoq; AbbVie, Olumiant; Eli Lilly, and Xeljanz; Pfizer).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our anti-BDCA2 program, our competitors include another anti-BDCA2 antibody, litifilimab (Biogen) in Phase 3 development for SLE and cutaneous lupus erythematosus, and a bispecific fusion protein targeting BDCA2 and BAFF/APRIL, DNTH212 (Dianthus Therapeutics) in Phase 1 development, and an anti-ILT7 antibody, daxdilimab (Amgen) in Phase 2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biosimilar products. Even if our product candidates achieve marketing approval, they may be priced at a significant premium over competitive biosimilar products if any have been approved by then.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Smaller and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product candidates may not achieve adequate market acceptance among physicians, patients, health care payors and others in the medical community necessary for commercial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efficacy and safety profile as demonstrated in planned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of market introduction of the product candidate as well as competitive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clinical indications for which the product candidate is approved;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restrictions on the use of our products, if approved, such as boxed warnings or contraindications in labeling or REMS, if any, which may not be required of alternative treatments and competitor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acceptance of the product candidate as a safe and effective treatment by physicians, clinics and patients; the potential and perceived advantages of product candidates over alternative treatments, including any similar generic treatments;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availability of coverage and adequate reimbursement and pricing by third parties and government authorities;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relative convenience and ease of administration;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frequency and severity of adverse events;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effectiveness of sales and marketing efforts;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unfavorable publicity relating to the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team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process of manufacturing biologics is complex, highly regulated and subject to multiple risks, and requires significant expertise and capital investment, including the development of advanced manufacturing techniques and process controls.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We rely, and expect to continue to rely, on third parties, including manufacturers based in China, for the manufacture of our product candidates and future product candidates. We and our contract manufacturers must comply with cGMP for the manufacturing of biologics used in clinical trials and, if approved, marketed products. Moreover, if the FDA determines that our manufacturer is not in compliance with FDA laws and regulations, including cGMP, the FDA may deny BLA approval until the deficiencies are corrected or we replace the manufacturer in our BLA with a manufacturer that is in compliance.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all of our therapeutic antibodies are manufactured by starting with cells which are stored in a cell bank. We have one master cell bank for each antibody manufactured in accordance with cGMP and create working cell banks to support cGMP manufacturing, and believe we would have adequate backup should any cell bank be lost in a catastrophic event. However, it is possible that we could lose multiple cell banks and have our manufacturing severely impacted by the need to replace the cell banks.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Even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 Accordingly, failures or difficulties faced at any level of our manufacturing process could adversely affect our business and delay or impede the development and commercialization of our product candidates or products and could have an adverse effect on our business, prospects,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any future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United States. Although we have not experienced any material supply interruptions to date, it is possible that political, economic or public health events could cause such interruptions in the future. Further, legislation has been introduced in Congress to limit certain U.S. biotechnology companies from using equipment or services produced or provided by select Chinese biotechnology companies, although such legislation has not yet advanced. We cannot predict what actions may ultimately be taken with respect to trade relations between the United States and China or other countries, what products and services may be subject to such actions or what actions may be taken by the other countries in retaliation.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product candidates. Such events could result in our clinical or commercial supply of drug, packaging and other services being interrupted or limited, which could harm our business. If our manufacturers are unable to produce sufficient quantities for clinical trials or for commercialization, commercialization efforts would be impaired, which would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have an adverse effect on our business, financial condition, results of operations and growth prospects.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w:t>
      </w:r>
    </w:p>
    <w:p>
      <w:pPr>
        <w:pStyle w:val="TextBody"/>
        <w:bidi w:val="0"/>
        <w:spacing w:before="240" w:after="283"/>
        <w:jc w:val="left"/>
        <w:rPr>
          <w:rFonts w:ascii="Times New Roman" w:hAnsi="Times New Roman"/>
          <w:sz w:val="20"/>
        </w:rPr>
      </w:pPr>
      <w:r>
        <w:rPr>
          <w:rFonts w:ascii="Times New Roman" w:hAnsi="Times New Roman"/>
          <w:b/>
          <w:i/>
          <w:color w:val="000000"/>
          <w:sz w:val="20"/>
        </w:rPr>
        <w:t>Some of our suppliers may experience disruption to their respective supply chain due to the effects of macroeconomic conditions, which could delay, prevent or impair our development or commercialization efforts</w:t>
      </w:r>
      <w:r>
        <w:rPr>
          <w:rFonts w:ascii="Times New Roman" w:hAnsi="Times New Roman"/>
          <w:i/>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obtain certain drug intermediates of our drug candidate supply from countries affected by macroeconomic events and conditions, including inflation, interest rate fluctuations, uncertainty with respect to the federal budget and debt ceiling and existing or potential government shutdowns related thereto, increasing financial market volatility and uncertainty, the impact of war or military conflict, including regional conflicts around the world, and public health pandemics. Supply chain disruptions and delays as a result of any new tariff policies or trade restrictions could also negatively impact our cost of materials, production processes, and ability to conduct clinical trials. If we are unable to obtain certain drug intermediates of our drug candidate supply in sufficient quantity and in a timely manner due to disruptions in the global supply chain caused by macroeconomic events and conditions, the development, testing and clinical trials of that drug candidate may be delayed or infeasible, and regulatory approval or commercial launch of any resulting product may be delayed or not obtained, which could significantly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macroeconomic and geopolitical environment may have a material impact on the U.S. and global economies and could materially impact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macroeconomic and geopolitical environment, including inflation, increased volatility in interest rates, tariffs and the debt and equity markets, instability in the global banking system, global health crises and pandemics and geopolitical conflict have had, and may continue to have, an adverse impact on global economic conditions, which could have an adverse effect on our business and financial condition, including impairing our ability to raise capital on favorable terms. The extent to which any such factors impact our business and operations will depend on future developments that are highly uncertain and cannot be predicted, including new information that may emerge concerning the severity of the event and the actions to contain its impact.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risks associated with foreign trade policy, including recent tariffs imposed or proposed by the United States on its trading partners, as well as retaliatory actions that have or may be imposed by other countries in response. The recent U.S. tariffs and other trade restrictions against trading partners and specific sectors of the global economy may have an adverse effect on our business and financial condition. The United States has imposed many country-specific tariffs at a rate higher than the 10% global baseline on all foreign countries and continues to impose increased tariffs on China in particular. At this time, the impact of the recently imposed and proposed tariff actions with respect to our operations remains uncertain given ongoing bilateral negotiations between the United States and trading partners, changes in U.S. policy, and an ongoing Section 232 investigation by the U.S. Department of Commerce, which may result in the imposition of an additional tariff rate on U.S. imports of pharmaceuticals and pharmaceutical ingredients. Our products involve pharmaceutical ingredients that are partially sourced from outside of the United States, including China, the cost of which may increase due to additional tariff rates. Higher material costs may negatively impact our gross margins and operating results and our ability to be competitive in the global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government trade policies, including changes to tariffs and other non-tariff barriers, may have a material impact on our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Financial Position and Capital Needs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no operating revenue and a history of operational losses and may not achieve or sustain profitability. We have no products approved for commercial sale, and to date we have not generated any revenue or profit from sales of our product candidates.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are a clinical-stage biotechnology company with a limited operating history. We have no approved products. Our ability to generate revenue and become profitable depends upon our ability, alone or with any future collaborators, to successfully complete the development of our product candidates for our target indications and to obtain necessary regulatory approvals. Further, following the Spin-Off, we will no longer generate revenue from the potential royalty revenue streams held by AnaptysBio, Inc. (i.e. the financial collaboration for </w:t>
      </w:r>
      <w:r>
        <w:rPr>
          <w:rFonts w:ascii="Times New Roman" w:hAnsi="Times New Roman"/>
          <w:i/>
          <w:color w:val="000000"/>
          <w:sz w:val="20"/>
        </w:rPr>
        <w:t xml:space="preserve">Jemperli </w:t>
      </w:r>
      <w:r>
        <w:rPr>
          <w:rFonts w:ascii="Times New Roman" w:hAnsi="Times New Roman"/>
          <w:color w:val="000000"/>
          <w:sz w:val="20"/>
        </w:rPr>
        <w:t>with GSK and for imsidolimab with Vanda).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and expect to continue to incur, operating losses. We had a net loss of $50.5 million and $47.2 million for the three months ended March 31, 2026 and 2025, respectively.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devoted substantially all of our efforts to research and development. Across our development portfolio, we expect to continue to incur significant expenses and increasing operating losses for the foreseeable future, and the net losses we incur may fluctuate significantly from quarter to quarter. Our ability to generate future product revenue from our current or future product candidates depends on a number of additional factors, including our ability (or as applicable any future collaborators’ ability)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 research and preclinical development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identify additional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enter into new collaboration agreements;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conduct additional preclinical studies and initiate clinical trials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 approvals for the product candidates that we develop or are developed under future collaboration arrangements;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 a sales, marketing and distribution infrastructure to commercialize any product candidates for which we may obtain marketing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hire additional executive, clinical, quality control and scientific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 operational, financial and management information systems and personnel, including personnel to support our product development and commercialization efforts;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 and maintain supply and manufacturing relationships with third parties and ensure adequate and legally compliant manufacturing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 coverage and adequate product reimbursement from third-party payors, including government payors;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acquire or in-license other product candidates and technologies;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achieve market acceptance for our or any future collaborators’ products, if 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any of our product candidates are approved for commercial sale, we anticipate incurring significant costs associated with the commercial launch of any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currently only in the clinical development stages for our most advanced product candidates. In order to become and remain profitable, we must, alone or with any future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the value of your shares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will require additional capital to finance our operations, which may not be available to us on acceptable terms, or at all. As a result, we may not complete the development and commercialization of our product candidates or develop new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research and development company, our operations have consumed substantial amounts of cash. We expect our research and development expenses to increase in connection with our ongoing activities, which expenses may substantially increase if we conduct Phase 3 clinical trials or seek marketing approval for our product candidates without any partnerships. In addition, if we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obtain marketing approval for any of our product candidates, we expect to incur significant commercialization expenses related to product sales, marketing, manufacturing and distribution. For more information on these expenses, see “</w:t>
      </w:r>
      <w:r>
        <w:rPr>
          <w:rFonts w:ascii="Times New Roman" w:hAnsi="Times New Roman"/>
          <w:i/>
          <w:color w:val="000000"/>
          <w:sz w:val="20"/>
        </w:rPr>
        <w:t>Management’s Discussion and Analysis of Financial Condition and Results of Operations—Funding Requirements</w:t>
      </w:r>
      <w:r>
        <w:rPr>
          <w:rFonts w:ascii="Times New Roman" w:hAnsi="Times New Roman"/>
          <w:color w:val="000000"/>
          <w:sz w:val="20"/>
        </w:rPr>
        <w:t>.” Furthermore, we expect to incur additional costs associated with operating as a public company. We believe that our existing cash, cash equivalents and investments will fund our current operating plan for at least the next 12 months. However, circumstances may cause us to consume capital more rapidly than we currently anticipate. For example, as we continue to move our product candidates into and through clinical trials, we may have adverse results requiring us to find new product candidates. Any of these events may increase our development costs more than we expect. We may need to raise additional funds or otherwise obtain funding through future collaboration agreements to continue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cannot guarantee that future financing will be available in sufficient amounts or on terms acceptable to us, if at all. If we do not raise additional capital when required or on acceptable terms, we may need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significantly delay, scale back or discontinue the development or commercialization of our product candidates or cease operations altogether;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seek strategic alliances for research and development programs at an earlier stage than we would otherwise desire or on terms less favorable than might otherwise be available;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relinquish, or license on unfavorable terms, our rights to technologies or future product candidates that we otherwise would seek to develop or commercialize ourselves;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eliminate staff to conserve resources.</w:t>
      </w:r>
    </w:p>
    <w:p>
      <w:pPr>
        <w:pStyle w:val="TextBody"/>
        <w:bidi w:val="0"/>
        <w:spacing w:before="240" w:after="283"/>
        <w:jc w:val="left"/>
        <w:rPr>
          <w:rFonts w:ascii="Times New Roman" w:hAnsi="Times New Roman"/>
          <w:sz w:val="20"/>
        </w:rPr>
      </w:pPr>
      <w:r>
        <w:rPr>
          <w:rFonts w:ascii="Times New Roman" w:hAnsi="Times New Roman"/>
          <w:color w:val="000000"/>
          <w:sz w:val="20"/>
        </w:rPr>
        <w:t>If we need to conduct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Adverse macroeconomic conditions, including volatility in equity capital markets, fluctuating interest rates, tariffs, actual or perceived instability in the U.S. and global banking systems, and fluctuations in foreign exchange rates, could prevent us from raising capital in sufficient amounts or on terms acceptable to us or at all.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w:t>
      </w:r>
      <w:r>
        <w:rPr>
          <w:rFonts w:ascii="Times New Roman" w:hAnsi="Times New Roman"/>
          <w:i/>
          <w:color w:val="000000"/>
          <w:sz w:val="20"/>
        </w:rPr>
        <w:t>Risk Factors</w:t>
      </w:r>
      <w:r>
        <w:rPr>
          <w:rFonts w:ascii="Times New Roman" w:hAnsi="Times New Roman"/>
          <w:color w:val="000000"/>
          <w:sz w:val="20"/>
        </w:rPr>
        <w:t>” section. We have based this estimate on assumptions that may prove to be wrong, and we could use our available capital resources sooner than we currently expect. Our future funding requirements, both short and long term, will depend on many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initiation, progress, timing, costs and results of preclinical studies and clinical trials for our product candidates and future product candidates we may develop;</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and size of clinical trials needed to show safety, efficacy and an acceptable risk/benefit profile for any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outcome, timing and cost of seeking and obtaining regulatory approvals from the FDA and foreign regulatory authorities, including the potential for such authorities to require that we perform more studies or trials than those that we currently expect;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commercial success or failure of products sold by any future collaborators and the timing thereof;</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enter into new collaboration agreements;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 acceptance of any approved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of acquiring, licensing or investing in additional businesses, products, product candidates and technologies;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 of recruiting and retaining key employees;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and fees associated with any delays or cancellations of forecasted manufacturing batches;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 and timing of selecting, auditing and potentially validating manufacturing sites for commercial-scale manufacturing;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 of establishing sales, marketing and distribution capabilities for our product candidates for which we may receive regulatory approval and that we determine to commercialize ourselves or in collaboration with any future collaborators.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cannot expand our operations or otherwise capitalize on our business opportunities due to a lack of capital, our business, financial condition and results of operations could be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Raising capital may cause dilution to our stockholders, restrict our operations or require us to relinquish rights to our product candidates on unfavorable terms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seek capital through a variety of means, including through public or private equity, debt financings or other sources, including up-front payments and milestone payments from strategic collaborations, license agreements and royalty agreements. To the extent that we raise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capital due to favorable market conditions or strategic considerations even if we believe we have sufficient funds for our current or future operating plans.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succeed in establishing and maintaining additional development and commercialization collaborations, which could adversely affect our ability to develop and commercialize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part of our strategy is to enter into strategic product development and commercialization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collaborations or other alternative arrangements for any of our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if we fail to establish and maintain collaborations related to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development of certain of our current or future product candidates may be terminated or delayed;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cash expenditures related to development of certain of our current or future product candidates would increase significantly and we may need to seek additional financing;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required to hire additional employees or otherwise develop expertise, such as sales and marketing expertise, for which we have not budgeted;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bear all of the risk related to the development and commercialization of any such product candidates.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third parties on which we depend to conduct our planned preclinical studies and clinical trials do not perform as contractually required, fail to satisfy regulatory or legal requirements or miss expected deadlines, our development programs could be delayed with adverse effects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third-party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rely completely on third parties to manufacture our nonclinical, clinical and future commercial drug supplies of any approved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or otherwise, could considerably harm our business and ability to generate revenue and delay completion of our clinical trials, product testing and potential regulatory approval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Reliance on third-party manufacturers entails additional risks, including the possible breach of the manufacturing agreement by the manufacturer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depend on a small number of suppliers for the raw materials necessary to produce our product candidates. The loss of these suppliers, or their failure to supply us with these raw materials, would materially and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development of our product candidates would be delayed or there would be a shortage in supply, which would impair our ability to meet our development objectives for our product candidates or generate revenues from the sale of any approved products. If either we or any third parties in the supply chain for materials used in the production of our product candidates are disrupted, including by political, economic or public health events, it could limit our ability to manufacture our product candidates for our preclinical or clinical studies.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Regulatory Approval of Our Product Candidates and Other Legal Compliance Matters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failure to obtain regulatory approval in international jurisdictions would prevent us or any future collaborators from marketing our product candidates outside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market and sell our products in other jurisdictions, we or any future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or any future collaborators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any future collaborators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The failure to obtain approval of any of our product candidates by regulatory authorities in another country may significantly diminish the commercial prospects of that product candidate and our business prospects could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Any drugs we develop may become subject to unfavorable third-party reimbursement practices and pricing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or any future collaborators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marketing approval is obtained. If coverage and reimbursement are not available or reimbursement is available only at limited levels, we or any future collaborators may not successfully commercialize any product candidate for which marketing approval is obtained.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significant uncertainty related to the insurance coverage and reimbursement of newly approved products. In the United States, the principal decisions about reimbursement for new products are typically made by the Centers for Medicare &amp; Medicaid Services,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or any future collaborators to provide scientific and clinical support for the use of our products to each payor separately, with no assurance that coverage and adequate reimbursement will be applied consistently or obtained in the first instance.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FDA-approved drugs for a particular indication. We or any future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or any future collaborators commercialize and, if reimbursement is available, what the level of reimbursement and the timing of achieving a reimbursement determination will be.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or any future collaborators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any future collaborators are unable to establish or sustain coverage and adequate reimbursement for any future product candidates from third-party payors, the adoption of those product candidates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any future collaborators receive regulatory approval, less favorable coverage policies and reimbursement rates may be implemented in the future.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Healthcare legislative reform measures may increase the difficulty and cost for us or any future collaborators to obtain marketing approval of and commercialize our product candidates and affect the pricing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or any future collaborators’ ability to profitably sell any product candidates for which marketing approval is obtained. The commercial potential for our product candidates, if any, could be affected by changes in healthcare spending and policy in the United States and abroad.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if and when we or any future collaborators are able to obtain marketing approval and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the Patient Protection and Affordable Care Act (the “ACA”) was enacted in 2010, which substantially changed the way healthcare is financed by both governmental and private insurers, and significantly impacts the U.S. pharmaceutical industry. While there have been legislative and judicial efforts to modify, repeal or otherwise invalidate all or certain aspects of the ACA or its implementing regulations, the ACA remains in effect in its current form. It is unclear how any such efforts in the future will impact the ACA or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at the United States federal and state levels to reduce healthcare expenditures. For example, several healthcare reform initiatives culminated in the enactment of the Inflation Reduction Act (“IRA”), in August 2022, which allows, among other things, HHS to negotiate the selling price of certain drugs and biologics that CMS reimburses under Medicare Part B and Part D, although this only applies to high-expenditure single-source drugs that have been approved for at least seven years (11 years for biologics). The negotiated prices, which will first become effective in 2026, will be capped at a statutory ceiling price. For 2026, the first year in which negotiated prices become effective, CMS selected 10 high-cost Medicare Part D products in 2023, negotiations began in 2024, and the negotiated maximum fair price for each product has been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announced. These negotiations resulted in significant price reductions for the products from their 2023 list prices, ranging from 38 to 79 percent, with an average price reduction of 59.4 percent. CMS has selected 15 additional Medicare Part D drugs for negotiated maximum fair pricing in 2027. For 2028, an additional 15 drugs, which may be covered under either Medicare Part B or Part D, will be selected, and for 2029 and subsequent years, 20 Part B or Part D drugs will be selected. The negotiated prices have represented, and will continue to represent, a significant discount from average prices to wholesalers and direct purchasers. The IRA also imposes rebates on Medicare Part B and Part D drugs whose prices have increased at a rate greater than the rate of inflation. In addition, the law eliminated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Further, in July 2025, the One Big Beautiful Bill Act (“OBBBA”) was signed into law, and restored immediate deductibility of domestic research and development expenditures, while foreign expenditures will continue to be capitalized and amortized over fifteen years. Further, the OBBBA is expected to reduce Medicaid spending and enrollment by implementing work requirements for some beneficiaries, capping state-directed payments, reducing federal funding, and limiting provider taxes used to fund the program. The OBBBA also narrows access to ACA marketplace exchange enrollment and declined to extend the enhanced subsidies for individuals purchasing health insurance coverage in ACA marketplaces which expired in 2025. It is likely these new laws will be challenged in multiple lawsuits. Thus, it is unclear how the IRA will be implemented but it will likely have a significant impact on the pharmaceutical industry and the pricing of our products and product candidates. The adoption of restrictive price controls in new jurisdictions, more restrictive controls in existing jurisdictions or the failure to obtain or maintain timely or adequate pricing could also adversely impact revenue. We expect pricing pressures will continue globally.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likely that federal and state legislatures within the United States and foreign governments will continue to consider changes to existing healthcare legislation. These laws may result in additional reductions in Medicare and other healthcare funding. We cannot predict the reform initiatives that may be adopted in the future or whether initiatives that have been adopted will be repealed or modified.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the ACA, the IRA, the OBBBA and other state or federal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entails a significant risk of product liability, and our ability to obtain sufficient insurance coverage could have an adverse effect on our business, financial condition, results of operations or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exposes us to significant product liability risks inherent in the development, testing, manufacturing and marketing of therapeutic treatments. Product liability claims could delay or prevent completion of our development programs. If we or any future collaborators succeed in marketing any of our product candidates, such claims could result in an FDA investigation of the safety and effectiveness of our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Health care providers and third-party payors play a primary role in the recommendation and prescription of any product candidates for which we or any future collaborators obtain marketing approval. Our future arrangements with third-party payors and customers may expose us to broadly applicable fraud and abuse and other health care laws and regulations that may constrain the business or financial arrangements and relationships through which we or any future collaborators market, sell and distribute our product candidates for which marketing approval is obtained. Restrictions under applicable federal and state health care laws and regulations include the following: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HIPAA imposes criminal and civil liability for, among other things, executing or attempting to execute a scheme to defraud any health care benefit program or making false statements relating to health care matters;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failure to comply with privacy and data security laws, regulations and standards may cause our business to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process a quantity of sensitive, confidential and/or regulated information, including confidential business and patient health information in connection with our clinical trials, and are subject to U.S. and international laws and regulations governing the privacy and security of such information. Each of these laws is subject to varying interpretations and constantly evolving. In the United States, there are numerous federal and state privacy and data security laws and regulations governing the collection, use, disclosure, processing and protection of personal information, including federal and state health information privacy laws, federal and state security breach notification laws, and federal and state consumer protection laws. In the EU and United Kingdom (“UK”), their respective General Data Protection Regulations (collectively, “GDPR”), which apply extraterritorially, impose several strict requirements for controllers and processors of personal information. These include higher standards for obtaining consent from individuals to process their personal information, increased requirements pertaining to the processing of special categories of personal information (such as health information) and pseudonymized (i.e., key-coded) data, and heightened transfer requirements of personal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from the European Economic Area/UK/Switzerland to countries not deemed to have adequate data protections laws (including the United States). Companies that must comply with the GDPR face increased compliance obligations and risk, including more robust regulatory enforcement of data protection requirements and potential fines for noncompliance of up to €20 million (approximately $22.6 million) or four percent of the annual global revenues of the noncompliant company, whichever is greater.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in addition to HIPAA, various federal (for example, the Federal Trade Commission)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impact our compliance efforts. For example, California enacted the California Consumer Privacy Act (as amended, the “CCPA”). Failure to comply with the CCPA may result in significant civil penalties, injunctive relief, or statutory or actual damages as determined by the California Privacy Protection Agency or the California Attorney General. Following California’s lead, over a third of U.S. states have adopted comprehensive privacy and security laws and regulations, which govern the privacy, processing and protection of personal information, including certain specific requirements and laws with respect to health-related information. For example, Washington state has passed the My Health My Data Act, which is focused on the collection of consumer health data, has a broader scope than HIPAA and includes a private right of action. In addition, various comprehensive federal privacy bills have been proposed in Congress.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provide assurance that (i) current or future legislation will not prevent us from generating or maintaining personal information, or (ii) patients will consent to the use of their personal information (as necessary). Either of these circumstances may prevent us from undertaking or continuing essential research and development, manufacturing, and commercialization, which could have a material adverse effect on our business, results of operations, financial condition,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Federal, state, and foreign government requirements include obligations to notify regulators and/or individuals of security breaches or other similar reportable incidents experienced by us, or our vendors, contractors, or organizations with whom we had specific contractual obligations to protect our data. Further, the improper access to, use of, or disclosure of our data or a third party’s personal information could subject us to individual or consumer class action litigation and governmental investigations and proceedings by federal, state, and local regulatory entities in the U.S. and by international regulatory entities. Compliance with these and any other applicable privacy and data security laws and regulations is a rigorous and time-intensive process, and we may be required to put in place additional mechanisms ensuring compliance with existing and new data protection rules and possible government oversight.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operating results, reputation, and financial condition.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results of operations, financial condition,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employees may engage in misconduct or other improper activities, including noncompliance with regulatory standards and requirements and insider trading.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will adopt a code of conduct prior to the closing of the Spin-Off, but it is not always possible to identify and deter employee misconduct. The precautions we take to detect and prevent this activity may not be effective in controlling unknown or unmanaged risks or losses or in protecting us from governmental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unable to obtain or protect intellectual property rights, we may not be able to compete effectively in our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in significant part on our and our licensors’ or any future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or any future collaborators may not be able to prepare, file and prosecute all necessary or desirable patent applications at a reasonable cost or in a timely manner. It is also possible that we or our licensors or any future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third parties and are reliant on our licensors or any future collaborators. Therefore, these patents and applications may not be prosecuted and enforced in a manner consistent with the best interests of our business. If our current or future licensors, licensees or any future collaborators fail to establish, maintain or protect such patents and other intellectual property rights, such rights may be reduced or eliminated. If our licensors or any future collaborators are not fully cooperative or disagree with us as to the prosecution, maintenance or enforcement of any patent rights, such patent rights could be compromised.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any future collaborators’ patent rights are highly uncertain. Our and our licensors’ or any future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any future collaborators to narrow the scope of the claims of our or our licensors’ or any future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Recent case law has increased uncertainty regarding the validity and enforceability of patents that contain broad antibody claims, including claims drafted in functional or genus form, even where examples are provided. As a result, patent claims that we obtain now or in the future could be narrowed during prosecution, or later held invalid or unenforceable. Our ability to obtain and maintain meaningful patent protection for our antibodies may depend on accurate and complete disclosure of technical characterizations of our antibodies, including biological sequence information. Any errors, omissions, inconsistencies, or later-developed scientific understanding that affects how our antibodies are characterized (including sequence information, epitope mapping, competition data, binding assays, or structure-function relationships) could impair our ability to obtain, maintain, or enforce patents, could provide a basis for third-party challenges, or could necessitate claim narrowing. In addition, some patent applications that we or our licensors have filed or will file in the future might not result in issued patents because we or our licensors have abandoned those patent applications as changes in business and/or legal strategies dictated.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or any future collaborators’ patent applications cannot be enforced against third parties practicing the technology claimed in such applications unless and until a patent issues from such applications, and then only to the extent the issued claims cover the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patent applications in the United States and most other countries are confidential for a period of time after filing, and some remain so until issued, we cannot be certain that we or our licensors or any future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Filing, prosecuting, enforcing and defending patents on product candidates in all countries throughout the world would be prohibitively expensive, and our or our licensors’ licensees’ or any future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any future collaborators may not be able to prevent third parties from practicing our and our licensors’ or any future collaborators’ inventions in all countries outside the United States or from selling or importing products made using our and our licensors’ or any future collaborators’ inventions in and into the United States or other jurisdictions. Competitors may use our and our licensors’ or any future collaborators’ technologies in jurisdictions where we have not obtained patent protection to develop their own products and, further, may export otherwise infringing products to territories where we and our licensors or any future collaborators have patent protection but enforcement is not as strong as that in the United States. These products may compete with our product candidates, and our and our licensors’ or any future collaborators’ patents or other intellectual property rights may not be effective or sufficient to prevent them from competing.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any future collaborators to stop the infringement of our and our licensors’ or any future collaborators’ patents or marketing of competing products in violation of our and our licensors’ or any future collaborators’ proprietary rights generally. Proceedings to enforce our and our licensors’ or any future collaborators’ patent rights in foreign jurisdictions could result in substantial costs and divert our and our licensors’ or any future collaborators’ efforts and attention from other aspects of our business, could put our and our licensors’ or any future collaborators’ patents at risk of being invalidated or interpreted narrowly and our and our licensors’ or any future collaborators’ patent applications at risk of not issuing and could provoke third parties to assert claims against us or our licensors or any future collaborators. We or our licensors or any future collaborators may not prevail in any lawsuits that we or our licensors or any future collaborators initiate, and the damages or other remedies awarded, if any, may not be commercially meaningful. Furthermore, the European patent litigation landscape has changed with the advent of the Unified Patent Court (UPC), which may allow third parties to seek, or may allow us to obtain, certain forms of relief with pan-European effect. This could increase the risk that a single adverse decision could significantly narrow, invalidate, or render unenforceable one or more of our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European patents across multiple jurisdictions, or that we could be subject to injunctive relief affecting multiple markets, if subjected to the jurisdiction of the UPC.</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patent law could diminish the value of patents in general, thereby impairing our ability to protect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Patent reform legislation could increase the uncertainties and costs surrounding the prosecution of our and our licensors’, licensees’ or any future collaborators’ patent applications and the enforcement or defense of our or our licensors’, licensees’ or any future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Moreover, future and recent past changes in the patent laws in the U.S. and abroad could impact or could increase the uncertainties and costs surrounding the prosecution of our and our licensors’ or any future collaborators’ patent applications and the enforcement or defense of our or our licensors’ or any future collaborators’ issued patents, which could have an impact on our business and financial conditions. For example, the U.S. Supreme Court and the U.S. Court of Appeals for the Federal Circuit rendered decisions in several patent cases such as </w:t>
      </w:r>
      <w:r>
        <w:rPr>
          <w:rFonts w:ascii="Times New Roman" w:hAnsi="Times New Roman"/>
          <w:i/>
          <w:color w:val="000000"/>
          <w:sz w:val="20"/>
        </w:rPr>
        <w:t>Association for Molecular Pathology v. Myriad Genetics, Inc., BRCA1- &amp; BRCA2-Based Hereditary Cancer Test Patent Litig.</w:t>
      </w:r>
      <w:r>
        <w:rPr>
          <w:rFonts w:ascii="Times New Roman" w:hAnsi="Times New Roman"/>
          <w:color w:val="000000"/>
          <w:sz w:val="20"/>
        </w:rPr>
        <w:t xml:space="preserve">, </w:t>
      </w:r>
      <w:r>
        <w:rPr>
          <w:rFonts w:ascii="Times New Roman" w:hAnsi="Times New Roman"/>
          <w:i/>
          <w:color w:val="000000"/>
          <w:sz w:val="20"/>
        </w:rPr>
        <w:t>Mayo Collaborative Services v. Prometheus Laboratories, Inc.</w:t>
      </w:r>
      <w:r>
        <w:rPr>
          <w:rFonts w:ascii="Times New Roman" w:hAnsi="Times New Roman"/>
          <w:color w:val="000000"/>
          <w:sz w:val="20"/>
        </w:rPr>
        <w:t xml:space="preserve">, </w:t>
      </w:r>
      <w:r>
        <w:rPr>
          <w:rFonts w:ascii="Times New Roman" w:hAnsi="Times New Roman"/>
          <w:i/>
          <w:color w:val="000000"/>
          <w:sz w:val="20"/>
        </w:rPr>
        <w:t>Alice Corporation Pty. Ltd. v. CLS Bank International</w:t>
      </w:r>
      <w:r>
        <w:rPr>
          <w:rFonts w:ascii="Times New Roman" w:hAnsi="Times New Roman"/>
          <w:color w:val="000000"/>
          <w:sz w:val="20"/>
        </w:rPr>
        <w:t xml:space="preserve">, and </w:t>
      </w:r>
      <w:r>
        <w:rPr>
          <w:rFonts w:ascii="Times New Roman" w:hAnsi="Times New Roman"/>
          <w:i/>
          <w:color w:val="000000"/>
          <w:sz w:val="20"/>
        </w:rPr>
        <w:t>Amgen v. Sanofi</w:t>
      </w:r>
      <w:r>
        <w:rPr>
          <w:rFonts w:ascii="Times New Roman" w:hAnsi="Times New Roman"/>
          <w:color w:val="000000"/>
          <w:sz w:val="20"/>
        </w:rPr>
        <w:t xml:space="preserve"> either narrowing the scope of patent protection available in certain circumstances or weakening the rights of patent owners in certain situations. In addition to increasing uncertainty with regard to our and our licensors’ or any future collaborators’ ability to obtain patents in the future, these types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or any future collaborators’ ability to obtain new patents or to enforce existing patents and patents that we and our licensors or any future collaborators may obtain in the future.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any future collaborators fail to maintain the patents 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patent applications covering our product candidates, our competitors might be able to enter the market, which would have an adverse effect on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reliance on third parties requires us to share our trade secrets, which increases the possibility that a competitor will discover them or that our trade secrets will be misappropriated or disclosed.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we plan to collaborate with various collaborators on the development and commercialization of one or more of our product candidates and because we rely on third parties to manufacture our product candidates, we must, at times, share trade secrets with them. We seek to protect our wholly 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w:t>
      </w:r>
      <w:r>
        <w:rPr>
          <w:rFonts w:ascii="Times New Roman" w:hAnsi="Times New Roman"/>
          <w:i/>
          <w:color w:val="000000"/>
          <w:sz w:val="20"/>
        </w:rPr>
        <w:t>provided</w:t>
      </w:r>
      <w:r>
        <w:rPr>
          <w:rFonts w:ascii="Times New Roman" w:hAnsi="Times New Roman"/>
          <w:color w:val="000000"/>
          <w:sz w:val="20"/>
        </w:rPr>
        <w:t xml:space="preserve">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Any future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 information by any of our future third-party collaborators. A competitor’s discovery of our trade secrets would impair our competitive position and have an adverse impact on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become involved in lawsuits to protect or enforce our intellectual property, which could be expensive, time-consuming and unsuccessful and have an adverse effect on the success of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may infringe our or our licensors’ or any future collaborators’ patents or misappropriate or otherwise violate our or our licensors’ or any future collaborators’ intellectual property rights. In the future, we or our licensors or any future collaborators may initiate legal proceedings to enforce or defend our or our licensors’ or any future collaborators’ intellectual property rights to protect our or our licensors’ or any future collaborators’ trade secrets or to determine the validity or scope of intellectual property rights we own or control. Also, third parties may initiate legal proceedings against us or our licensors or any future collaborators to challenge the validity or scope of intellectual property rights we own or control. These proceedings can be expensive and time-consuming, and many of our or our licensors’ or any future collaborators’ adversaries in these proceedings may have the ability to dedicate substantially greater resources to prosecuting these legal actions than we or our licensors or any future collaborators. In addition, in an infringement proceeding, a court may decide that a patent owned by or licensed to us is invalid or unenforceable, or may refuse to stop the other party from using the technology at issue on the grounds that our or our licensors’ or any future collaborators’ patents do not cover the technology in question. Furthermore, an adverse result in any litigation or administrative proceeding could put one or more of our or our licensors’ or any future collaborators’ patents at risk of being invalidated, held unenforceable or interpreted narrowly.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despite our or our licensors’ or any future collaborators’ efforts, we or our licensors, licensees or any future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or any future collaborators to protect or enforce our or our licensors’ or any future collaborators’ patents or patent applications. Additionally, third-party preissuance submission of prior art to the USPTO or other foreign jurisdictions may jeopardize the issuance or scope of our or our licensors’ or any future collaborators’ patent applications. An unfavorable outcome in any such proceedings could require us or our licensors or any future collaborators to cease using the related technology, or to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attempt to license rights to it from the prevailing party. Our business could be harmed if the prevailing party does not offer us or our licensors or any future collaborators a license on commercially reasonable terms or at all, and we could be forced to stop commercializing our product candidates. Even if we or our licensors or any future collaborators obtain a license, it may be non-exclusive, thereby giving our competitors access to the same technologies licensed to us or our licensors or any future collaborators.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the breadth or strength of protection provided by our or our licensors’ or any future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breach the license agreements related to our product candidates, we could lose the ability to continue the development and commercialization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success depends upon our ability, and the ability of our licensors and collaborators to develop, manufacture, market and sell our product candidates and use our and our licensors’ or any future collaborators’ wholly owned technologies without infringing the proprietary rights of third parties. A third party may hold intellectual property, including patent rights that are important or necessary to the development of our products. As a result, we may enter into license agreements in the future with others in order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 candidates in the future. In addition, we entered into an exclusive license agreement with Centessa Pharmaceuticals (UK) Limited (“Centessa”), which relates to our product candidate, ANB101, and are subject to certain obligations thereunder. If we fail to comply with the obligations under any such agreement,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Disputes may arise regarding intellectual property subject to a licensing agreement,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extent to which our technology and processes infringe on intellectual property of the licensor that is not subject to the licensing agreement;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sublicensing of patent and other rights under any collaboration relationships we might enter into in the future;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us and our licensors or any future collaborators;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our current or any future licensing arrangements on acceptable terms, we may be unable to successfully develop and commercialize the affected product candidates.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may initiate legal proceedings against us or our licensors or any future collaborators alleging that we or our licensors or any future collaborators infringe their intellectual property rights or we or our licensors or any future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any future collaborators’ adversaries in these proceedings may have the ability to dedicate substantially greater resources to prosecuting these legal actions than we or our licensors or any future collaborators.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any future collaborators to cease using the related technology, to cease developing or commercializing our product candidates or to attempt to license rights to it from the prevailing party. Our business could be harmed if the prevailing party does not offer us or our licensors or any future collaborators a license on commercially reasonable terms or at all. Even if we or our licensors or any future collaborators obtain a license, it may be non-exclusive, thereby giving our competitors access to the same technologies licensed to us or our licensors or any future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subject to claims by third parties asserting that our employees or we have misappropriated their intellectual property or claiming ownership of what we regard as our own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inability to protect our confidential information and trade secrets would harm our business and competitive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pStyle w:val="TextBody"/>
        <w:bidi w:val="0"/>
        <w:spacing w:before="240" w:after="283"/>
        <w:jc w:val="left"/>
        <w:rPr>
          <w:rFonts w:ascii="Times New Roman" w:hAnsi="Times New Roman"/>
          <w:sz w:val="20"/>
        </w:rPr>
      </w:pPr>
      <w:r>
        <w:rPr>
          <w:rFonts w:ascii="Times New Roman" w:hAnsi="Times New Roman"/>
          <w:i/>
          <w:color w:val="000000"/>
          <w:sz w:val="20"/>
        </w:rPr>
        <w:t>I</w:t>
      </w:r>
      <w:r>
        <w:rPr>
          <w:rFonts w:ascii="Times New Roman" w:hAnsi="Times New Roman"/>
          <w:b/>
          <w:i/>
          <w:color w:val="000000"/>
          <w:sz w:val="20"/>
        </w:rPr>
        <w:t>f we do not obtain protection under the Hatch-Waxman Amendments and similar foreign legislation for extending the term of patents covering each of our product candidates, our business may be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the effective patent term lost during product development and the FDA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Managing Growth, Operations and Macroeconomic Conditions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must attract and retain highly skilled employees in order to succeed.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Further, any additional obligations of our senior management team that occur in connection with the separation of our business may result in operational disruptions, and our business may be harmed as a result.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expect to expand our development and regulatory capabilities, and as a result, we may encounter difficulties in managing our growth, which could disrupt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internal computer systems, or those of our future third-party collaborators or other service providers, may fail or suffer security breaches and cyber-attacks, which could result in a material disruption of our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increasingly dependent on information technology systems, infrastructure and data to operate our business. In the ordinary course of our business, we collect, store, process and transmit large amounts of confidential and sensitive information. It is critical that we do so in a secure manner to maintain the confidentiality, integrity and availability of such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our information. We have also outsourced elements of our information technology infrastructure, resulting in a number of third-party vendors that may or could have access to our information. Despite the implementation of security measures, any of the internal technology systems belonging to us, any future collaborators or our third-party service providers are vulnerable to damage from computer viruses, bugs, worms, malware, hacking, supply chain attacks and vulnerabilities, distributed denial-of-service attacks, credential stuffing or harvesting, unauthorized access, natural disasters, terrorism, war and telecommunication and electrical failure. Any system failure, accident or security breach that causes interruptions in our own, in any future collaborators’ or in third-party service providers’ operations could result in a material disruption of our drug discovery and development programs. For example, the loss of clinical trial data from completed or future clinical trials could result in delays in our or any future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sensitive or proprietary information, we may incur liability as a result, our drug discovery programs and competitive position may be adversely affected, and the further development of our product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candidates may be delayed. Furthermore, we may incur additional costs to remedy the damages caused by these disruptions or security breaches.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system protections may be ineffective or inadequate, or we could be impacted by software bugs or other technical malfunctions, as well as employee error or malfeasance. Additionally, laws and regulations regarding privacy and data protection are evolving, and it is possible that they may be interpreted and applied in a manner that is inconsistent with our data handling safeguards and practices that could result in fines, lawsuits, and other penalties, and significant changes to our or any future collaborators or third-party service providers’ business practices and products and service offerings. To the extent that the measures we or any future collaborators or third-party service providers have taken prove to be insufficient or inadequate, we may become subject to litigation, breach notification obligations, or regulatory or administrative sanctions, which could result in significant fines, penalties, damages, harm to our reputation, or loss of customers. While we have not experienced any material losses as a result of any system failure, accident or security breach to date, we have been the subject of certain phishing attempts in the past. If such an event were to occur and cause interruptions in our operations, it could result in a material disruption of our development programs and our business operations, whether due to a loss of our trade secrets or other proprietary information or other similar disruptions. Additionally, a party who circumvents our security measures could, among other effects, appropriate proprietary data, cause interruptions in our operations, or expose any future collaborators to hacks, viruses, and other disruptions. For example, the loss of clinical trial data from completed or future clinical trials could result in delays in our regulatory approval efforts and significantly increase our costs to recover or reproduce the data. In addition, while we maintain cybersecurity insurance coverage, we cannot be sure that such coverage will be adequate or sufficient to compensate for any losses associated with such events, that such coverage will continue to be available on commercially reasonable terms or at all, or that such coverage will pay future claims. The development and maintenance of our information technology systems, controls and processes is costly and requires ongoing monitoring and updating as technologies change and efforts to overcome security measures become increasingly sophisticated.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facilities were impacted by a seismic or wildfire event, we could lose some, or all, of our antibody sequences, which would have an adverse effect on our ability to perform our obligations under any future collaborations and discover new targets.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integral parties in our supply chain are geographically concentrated and operating from single sites, increasing their vulnerability to natural disasters or other sudden, unforeseen and severe and/or material disruptions. If such an event were to affect the parties integral to our supply chain, it could have a material adverse effect on our 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Spin-Off</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unable to achieve some or all of the benefits that we expect to achieve from the Spin-Off.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unable to achieve the full strategic and financial benefits expected to result from the Spin-Off, or such benefits may be delayed or not occur at all. We believe that, as an independent, publicly traded company, we are able to, among other things, focus on First Tracks Biotherapeutics’ distinctive set of assets, business objectives and unique opportunities for long-term growth and profitability. First Tracks Biotherapeutics will be able to tailor capital and corporate resources to its own operating and financial objectives and will have increased flexibility to pursue independent strategic and financial plans and strategic partnerships without considering competing priorities of AnaptysBio, Inc. Being independent enables First Tracks Biotherapeutics to create independent capital structures that will afford it direct access to the debt and equity capital markets, allow investors to evaluate the investment characteristics of First Tracks Biotherapeutics and enable First Tracks Biotherapeutics to maintain an employee base more aligned with its specific operating and financial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be unable to achieve some or all of the benefits that we expect to achieve as an independent company in the time we expect, if at all, for a variety of reasons, including: (i) we may be more susceptible to market fluctuations, actions by activist stockholders, and other adverse events than if we were still a part of AnaptysBio, Inc.; (ii) our businesses are less diversified than AnaptysBio, Inc.’s businesses prior to the Spin-Off; (iii) the actions required to separate AnaptysBio, Inc.’s and our respective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businesses could disrupt our operations; and (iv) economic and business conditions that affect First Tracks Biotherapeutics and the biotechnology industry generally and any material changes in global, political, economic, business, competitive, market or regulatory forces. If we fail to achieve some or all of the benefits that we expect to achieve as an independent company, or do not achieve them in the time we expect, our business, financial condition, cash flows, and results of operations could be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 an independent, publicly traded company, we may not enjoy the same benefits that we did as part of AnaptysBio,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an independent, publicly traded company, we may become more susceptible to market fluctuations and other adverse events than we would have been if we were still a part of AnaptysBio, Inc. As part of AnaptysBio, Inc., we were able to enjoy certain benefits from AnaptysBio, Inc.’s operating diversity, cost of capital and borrowing capacity, and opportunities to pursue integrated strategies with AnaptysBio, Inc.’s other businesses. As an independent, publicly traded company, we may not have the same benefits. As an independent, publicly traded company, we will need to continue to develop new strategies, and it may be more difficult for us to recruit or retain key personnel.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very limited history of operating as a standalone public company, and our historical financial information may not necessarily reflect the results that we would have achieved as a standalone public company or what our results may be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the Spin-Off, we operated as part of AnaptysBio, Inc. The financial information included in this Quarterly Report has been prepared from AnaptysBio, Inc.’s historical accounting records and is derived from the combined financial statements of AnaptysBio, Inc. to present First Tracks Biotherapeutics, Inc. as if it had been operating on a standalone basis. Accordingly, this information may not necessarily reflect what our financial condition, results of operations or cash flows would have been had we been a standalone company during the periods presented or what our financial condition, results of operations and cash flows may be in the future, primarily because of the following factors: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entered into a Transition Services Agreement pursuant to which we provide AnaptysBio, Inc. with certain specified services for a limited time, to ensure an orderly transition following the Spin-Off. The services we provide consist of digital technology, business development, human resources, supply chain, and finance, among others.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entered into agreements and transactions with AnaptysBio, Inc. that did not exist prior to the Spin-Off, such as our provision of transition and other services to AnaptysBio, Inc., and have undertaken indemnification obligations, which may cause us to incur new costs.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working capital requirements and capital expenditures were historically satisfied as part of AnaptysBio, Inc.’s corporate-wide cash management and centralized funding programs, and our cost of capital may differ significantly from the historical amounts reflected in our historical financial statements.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our business was under common ownership with the other businesses of AnaptysBio, Inc., and we benefited from AnaptysBio, Inc.’s existing collaborations and related royalty revenue streams, from which we no longer benefit.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Certain of our directors and employees may have actual or potential conflicts of interest because of their financial interests in, or because of their previous or continuing positions with, AnaptysBio, Inc. or other entities with which we have commercial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of our executive officers and our directors have continued to serve as executive officers and directors of AnaptysBio, Inc. following completion of the Spin-Off. In light of the substantial operational, scientific and development demands associated with First Tracks Biotherapeutics as a clinical-stage biotechnology business focused on the development and potential commercialization of innovative therapeutics for autoimmune and inflammatory diseases, including ANB033, rosnilimab and ANB101, we expect that our executive officers will devote a majority of their working time to First Tracks Biotherapeutics. Given their ongoing responsibilities to AnaptysBio, Inc, certain of our executive officers are not be able to devote their full time, effort and attention exclusively to our company’s affairs. In addition, because of their current positions with AnaptysBio, Inc., certain of our executive officers and directors own equity interests in both us and AnaptysBio, Inc. Continuing ownership of AnaptysBio, Inc. shares and equity awards could create, or appear to create, potential conflicts of interest if we and AnaptysBio, Inc. face decisions that could have implications for both us and AnaptysBio, Inc. Potential conflicts of interest could arise in connection with the resolution of any dispute between us and AnaptysBio, Inc. regarding the terms of the agreements governing the Spin-Off and our relationship with AnaptysBio, Inc. following the Spin-Off. Potential conflicts of interest may also arise out of any commercial arrangements that we or AnaptysBio, Inc. may enter into in the future. A dispute regarding a potential or actual conflict of interest involving us and AnaptysBio, Inc. or any of such other companies could negatively impact our businesses, results of operations, cash flows, and financial condition. In addition, public perception of such an actual or apparent conflict of interest could pose reputational risks and expose us to increased scrutiny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investors and regulators. Although we have policies governing conflicts of interest, including a written Related Party Transaction Policy applicable to our executive officers, directors and nominees for director, they may not sufficiently protect against these risks.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Ownership of Shares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market price of our stock may be volatile, and you could lose all or part of your investment.</w:t>
      </w:r>
    </w:p>
    <w:p>
      <w:pPr>
        <w:pStyle w:val="TextBody"/>
        <w:bidi w:val="0"/>
        <w:spacing w:before="240" w:after="283"/>
        <w:jc w:val="left"/>
        <w:rPr>
          <w:rFonts w:ascii="Times New Roman" w:hAnsi="Times New Roman"/>
          <w:sz w:val="20"/>
        </w:rPr>
      </w:pPr>
      <w:r>
        <w:rPr>
          <w:rFonts w:ascii="Times New Roman" w:hAnsi="Times New Roman"/>
          <w:color w:val="000000"/>
          <w:sz w:val="20"/>
        </w:rPr>
        <w:t>The trading price of shares of our common stock may be highly volatile and subject to wide fluctuations in response to various factors, some of which we cannot control. In addition to the factors discussed in this “</w:t>
      </w:r>
      <w:r>
        <w:rPr>
          <w:rFonts w:ascii="Times New Roman" w:hAnsi="Times New Roman"/>
          <w:i/>
          <w:color w:val="000000"/>
          <w:sz w:val="20"/>
        </w:rPr>
        <w:t>Risk Factors</w:t>
      </w:r>
      <w:r>
        <w:rPr>
          <w:rFonts w:ascii="Times New Roman" w:hAnsi="Times New Roman"/>
          <w:color w:val="000000"/>
          <w:sz w:val="20"/>
        </w:rPr>
        <w:t>” section and elsewhere in this Quarterly Report, these factors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 of competitive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actions with respect to our products or our competitors’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actual or anticipated changes in our growth rate relative to our competitors;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or capital commitments;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results of preclinical studies and clinical trials of our product candidates or those of our competitors;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level of expenses related to any of our product candidates or clinical development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announcements of new collaboration agreements;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disputes, breaches and terminations of our manufacturing agreements, collaborations agreements or other important agreements;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results of our efforts to in-license or acquire additional product candidates or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our shares;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of shares of our common stock by us, our insiders or our other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the structure of health care payment systems;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 conditions in the biotechnology sector;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economic uncertainty and capital markets disruptions, which have been substantially impacted by geopolitical instability, actual or perceived instability in the U.S. and global banking systems, uncertainty with respect to the U.S. federal budget, and fluctuating interest rates, tariffs and inflation.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In addition, the stock market in general, and the Nasdaq Stock Market LLC (the “Exchange”) and biotechnology companies in particular, have experienced extreme price and volume fluctuations that have often been unrelated or disproportionate to the operating performance of these companies. Broad market and industry factors may negatively affect the market price of shares of our common stock, regardless of our actual operating performance. In the past, following periods of volatility in the overall market and the market price of a particular company’s securities, securities class action litigation has often been instituted against these companies. AnaptysBio, Inc. has been subject to securities litigation in the past, and any future securities litigation could result in substantial costs and a diversion of our management’s attention and resources. The realization of any of the above risks or any of a broad range of other risks, including those described in this “</w:t>
      </w:r>
      <w:r>
        <w:rPr>
          <w:rFonts w:ascii="Times New Roman" w:hAnsi="Times New Roman"/>
          <w:i/>
          <w:color w:val="000000"/>
          <w:sz w:val="20"/>
        </w:rPr>
        <w:t>Risk Factors</w:t>
      </w:r>
      <w:r>
        <w:rPr>
          <w:rFonts w:ascii="Times New Roman" w:hAnsi="Times New Roman"/>
          <w:color w:val="000000"/>
          <w:sz w:val="20"/>
        </w:rPr>
        <w:t>” section, could have a dramatic and adverse impact on the market price of shares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subject to securities litigation, which is expensive and could divert management attention.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 price of shares of our common stock may be volatile and, in the past, companies that have experienced volatility in the market price of their stock have been subject to securities class action litigation. We may be the target of this type of litigation. Regardless of the outcome, future litigation against us could result in substantial costs and divert our management’s attention from other business concerns, which could seriously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share price may fluctuate significantly, and there can be no assurance that the combined trading prices of a share of our common stock and a share of AnaptysBio, Inc.’s common stock would exceed the trading price of a share of AnaptysBio, Inc. common stock absent the Spin-Off.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 price of a share of First Tracks Biotherapeutics common stock may fluctuate widely depending on many factors, some of which may be beyond our control.</w:t>
      </w:r>
    </w:p>
    <w:p>
      <w:pPr>
        <w:pStyle w:val="TextBody"/>
        <w:bidi w:val="0"/>
        <w:spacing w:before="240" w:after="283"/>
        <w:jc w:val="left"/>
        <w:rPr>
          <w:rFonts w:ascii="Times New Roman" w:hAnsi="Times New Roman"/>
          <w:sz w:val="20"/>
        </w:rPr>
      </w:pPr>
      <w:r>
        <w:rPr>
          <w:rFonts w:ascii="Times New Roman" w:hAnsi="Times New Roman"/>
          <w:color w:val="000000"/>
          <w:sz w:val="20"/>
        </w:rPr>
        <w:t>Furthermore, our business profile and market capitalization may not fit the investment objectives of some AnaptysBio, Inc. stockholders and, as a result, these AnaptysBio, Inc. stockholders potentially have been, and may continue to, sell their shares of our common stock after the Spin-Off. See “—</w:t>
      </w:r>
      <w:r>
        <w:rPr>
          <w:rFonts w:ascii="Times New Roman" w:hAnsi="Times New Roman"/>
          <w:i/>
          <w:color w:val="000000"/>
          <w:sz w:val="20"/>
        </w:rPr>
        <w:t>Substantial sales of shares of our common stock may occur in the future, which could cause our share price to decline or be volatile.</w:t>
      </w:r>
      <w:r>
        <w:rPr>
          <w:rFonts w:ascii="Times New Roman" w:hAnsi="Times New Roman"/>
          <w:color w:val="000000"/>
          <w:sz w:val="20"/>
        </w:rPr>
        <w:t>” Should the market price of our shares drop significantly, stockholders may institute securities class action lawsuits against us. A lawsuit against us could cause us to incur substantial costs and could divert the time and attention of our management and other resources.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Substantial sales of shares of our common stock may occur in the future, which could cause our share price to decline or be volatile.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Private Placement, we filed a resale registration statement registering the shares we issued in the Private Placement. The sales of significant amounts of shares of our common stock or the perception in the market that such sales might occur may decrease the market price of a share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market price of First Tracks Biotherapeutics shares may be affected by factors different from those affecting AnaptysBio, Inc. shares prior to completion of the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results of operations of First Tracks Biotherapeutics and the market price of the First Tracks Biotherapeutics shares, after completion of the transaction, may be affected by factors – both those related to the Spin-Off and other general factors, some of which are beyond our control – different from those that previously affected the independent results of operations and the market prices of AnaptysBio, Inc. shares. Accordingly, the market price and performance of First Tracks Biotherapeutics shares is likely to be different from the performance of AnaptysBio, Inc. shares in the absence of the transaction. The nature of our business and industry subject us, and our share price, to volatility. In addition, general fluctuations in stock markets or adverse factors in the biotechnology industry could have a material adverse effect on the market for, or liquidity of, First Tracks Biotherapeutics shares, regardless of First Tracks Biotherapeutics’ actual operating performance following the completion of the Spin-Off. Should the market price of our shares drop significantly, stockholders may institute securities class action lawsuits against us. A lawsuit against us could cause us to incur substantial costs and could divert the time and attention of our management and other resources.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an “emerging growth company” and will be able take advantage of reduced disclosure requirements applicable to “emerging growth companies,” which could make shares of our common stock less attractive to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and, for as long as we continue to be an “emerging growth company,” we intend to take advantage of certain exemptions from various reporting requirements applicable to other public companies but not to “emerging growth companies.” These exemptions include, but are not limited to: not being required to comply with the auditor attestation requirements of Section 404(b) of the Sarbanes-Oxley Act, not being required to communicate critical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audit matters in the auditor’s report, permission to present only two years of audited financial statements and only two years of related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in our periodic reports and registration statements, including in this Quarterly Report, reduced disclosure obligations regarding executive compensation in our periodic reports and proxy statements and exemptions from the requirements of holding a nonbinding stockholder advisory vote on executive compensation (e.g., “say-on-pay” and “say-on-frequency”) and any golden parachute payments not previously approved. In addition, under the JOBS Act, “emerging growth companies” can delay adopting new or revised accounting standards until such time as those standards apply to private companies. While we have elected to avail ourselves of this exemption, we are permitted and may elect to early adopt certain new or revised accounting standards for which the respective standard allows for early adoption. For as long as we take advantage of the reduced reporting obligations, the information that we provide stockholders may be different from information provided by other similarly situated public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will be an “emerging growth company” until the earliest of (i) the last day of the first fiscal year in which our annual gross revenue equals or exceeds $1.235 billion; (ii) the date that we become a “large accelerated filer” as defined in Rule 12b-2 under the Exchange Act, with the market value of shares of our common stock held by non-affiliates equal to at least $700 million as of the last business day of our most recently completed second fiscal quarter; (iii) the last day of our fiscal year following the fifth anniversary of the date of the Spin-Off; and (iv) the date on which we have issued more than $1 billion in non-convertible debt during the preceding three-year period. We cannot predict if investors will find shares of our common stock less attractive if we choose to rely on these exemptions. If some investors find shares of our common stock less attractive as a result of any choices to reduce future disclosure, there may be a less active trading market for shares of our common stock, our stock price may decline or become more volatile and it may be difficult for us to raise capital if and when we need it.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a smaller reporting company and intend to elect to comply with reduced public company reporting requirements applicable to smaller reporting companies, which could make shares of our common stock less attractive to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“smaller reporting company,” meaning that we are not an investment company, an asset-backed issuer, or a majority-owned subsidiary of a parent company that is not a “smaller reporting company,” and have either: (i) a public float of less than $250 million as of our most recently completed second fiscal quarter or (ii) annual revenues of less than $100 million during the most recently completed fiscal year and (A) no public float or (B) a public float of less than $700 million as of our most recently completed second fiscal quarter. As a “smaller reporting company,” we will be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some investors find shares of our common stock less attractive as a result of any choices to reduce future disclosure we may make, there may be a less active trading market for shares of our common stock and our stock price may be more volatile.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requirements of being a public company may strain our resources, divert management’s attention, and affect our ability to attract and retain additional executive management and qualified board members.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public company, we will continue to incur significant legal, accounting and other expenses, and these expenses may increase even more after we are no longer an “emerging growth company” or a “smaller reporting company.” We will continue to be subject to the reporting requirements of the Exchange Act, the Sarbanes-Oxley Act, the Dodd-Frank Wall Street Reform and Consumer Protection Act of 2010 as well as rules adopted, and to be adopted, by the SEC and the Exchange.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invest resources to comply with evolving laws, regulations, and standards, and this investment may result in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our Board committees or as executive officers. After we are no longer an “emerging growth company,” and can no longer take advantage of the reporting exemptions available to “emerging growth companies” as discussed above,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as a result of becoming a public company or the timing and materiality of such costs.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after a transition period, and provide a management report on our internal controls on an annual basis. If we have material weaknesses in our internal control over financial reporting, we may not detect errors on a timely basis and our financial statements may be materially misstated. We may require additional management and staff resources to comply, maintain and enhance the systems, processes and documentation necessary to comply with Section 404 of the Sarbanes-Oxley Act.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of the Sarbanes-Oxley Act, any failure of our internal control over financial reporting could have a material adverse effect on our reported operating results and harm our reputation. Internal control deficiencies could also result in a restatement of our financial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Public company reporting and internal control obligations may strain resources and increase the risk of material weaknesses, restatements, and adverse market impact.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public company, we continue to be subject to significant requirements for enhanced financial reporting and internal controls. Effective internal control over financial reporting is necessary for us to provide reliable financial reports and, together with adequate disclosure controls and procedures, is designed to prevent fraud. The process of designing and implementing effective internal controls is a continuous effort that requires us to anticipate and react to changes in our business and the economic and regulatory environment, and to expend significant resources to maintain a system of internal controls that is adequate to satisfy our reporting obligations as a public company. Any failure to implement required new or improved controls, or difficulties encountered in their implementation, could cause us to fail to meet our reporting obligations on a timely basis, result in material misstatements in our combined financial statements and harm our results of operations. In addition, we will be required, pursuant to Section 404(a) of the Sarbanes-Oxley Act, to furnish a report by management on, among other things, the effectiveness of our internal control over financial reporting in the second annual report following the completion of the Spin-Off.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independent registered public accounting firm is not required to audit the effectiveness of our internal control over financial reporting until after we are no longer an “emerging growth company,” as defined in the JOBS Act, which at the latest would be the end of the fiscal year following the fifth anniversary of the Spin-Off. At such time, our internal control over financial reporting may be insufficiently documented, designed or operating, which may cause our independent registered public accounting firm to issue a report that is adverse. Undetected material weaknesses in our internal control over financial reporting could lead to financial statement restatements and require us to incur the expense of remediation, which could have a negative effect on the trading price of our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maintain an effective internal control environment, we could suffer material misstatements in our combined financial statements and fail to meet our reporting obligations, which would likely cause investors to lose confidence in our reported financial information. Additionally, ineffective internal control over financial reporting could expose us to increased risk of fraud or misuse of corporate assets and subject us to potential delisting from the Exchange, regulatory investigations, civil or criminal sanctions and litigation, any of which would have a material adverse effect on our business, results of operations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Additionally, controls can be circumvented by the individual acts of some persons, by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do not intend to pay dividends on shares of our common stock, so any returns will be limited to the value of our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anticipate that we will declare or pay any cash dividend on shares of our common stock. We currently anticipate that we will retain future earnings for the development, operation and expansion of our business and do not anticipate declaring or paying any cash dividends for the foreseeable future. Any return to stockholders would therefore be limited to the appreciation of their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cash and investments could be adversely affected if the financial institutions in which we hold our cash and investments fail.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regularly maintain cash balances at third-party financial institutions in excess of the Federal Deposit Insurance Corporation insurance limit. Further, if we enter into a credit, loan or other similar facility with a financial institution, certain covenants included in such facility may require as security that we keep a significant portion of our cash with the institution providing such facility. If a depository institution where we maintain deposits fails or is subject to adverse conditions in the financial or credit markets, we may not be able to recover all, if any, of our deposits, which could adversely impact our operating liquidity and financial performance.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Provisions in our amended and restated certificate of incorporation and bylaws and Delaware law might discourage, delay or prevent a change in control of our company or changes in our management and, therefore, depress the market price of shares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amended and restated certificate of incorporation and bylaws, contain provisions that could depress the market price of shares of our common stock by acting to discourage, delay or prevent a change in control of our company or changes in our management that the stockholders of our company may deem advantageous. These provisions, among other things, will: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 a classified Board so that not all members of our Board are elected at one time;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permit only the Board to establish the number of directors and fill vacancies on the Board;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provide that directors may only be removed “for cause” and only with the approval of two-thirds of our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require super-majority voting to amend some provisions in our amended and restated certificate of incorporation and bylaws;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authorize the issuance of “blank check” preferred stock that our Board could use to implement a stockholder rights plan (also known as a “poison pill”);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eliminate the ability of our stockholders to call special meetings of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prohibit stockholder action by written consent, which requires all stockholder actions to be taken at a meeting of our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prohibit cumulative voting;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our Board or for proposing matters that can be acted upon by stockholders at annual stockholder meetings.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Section 203 of the DGCL may discourage, delay or prevent a change in control of our company. Section 203 of the DGCL imposes certain restrictions on mergers, business combinations and other transactions between us and holders of 15% or more of shares of our common stock.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bylaws, to the fullest extent permitted by law, will provide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bylaws; or any action asserting a claim that is governed by the internal affairs doctrine. This exclusive forum provision will not apply to suits brought to enforce a duty or liability created by the Securities Exchange Act of 1934, as amended, or Exchange Act. It could apply, however, to a suit that falls within one or more of the categories enumerated in the exclusive forum provision.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Section 22 of the Securities Act creates concurrent jurisdiction for federal and state courts over all claims brought to enforce any duty or liability created by the Securities Act or the rules and regulations thereunder. Our bylaws will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an offering of our securities.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issue an adverse or misleading opinion regarding our stock, our stock price and trading volume could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market for shares of our common stock will be influenced by the research and reports that industry or securities analysts publish about us or our business. If any of the analysts who will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240" w:after="283"/>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Use of Proceeds and Issuer Purchases of Equity Securities.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Use of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1, 2026, our registration statement on Form 10 (File No. 001-43177) (the “Form 10”) relating to the Spin-Off was declared effective by the SEC.</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described in the Information Statement filed with the Form 10, we intend to use the $100.0 million in proceeds associated with the Spin-Off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approximately $50 million to provide funding for continued clinical trials and development of ANB033 through Phase 1b development in CeD and EoE;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approximately $5 million to provide funding for continued clinical trials and development of ANB101 through Phase 1a development;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remainder for general corporate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closing of the Spin-Off on April 20, 2026, pursuant to that certain securities purchase agreement with certain third-party investors, we issued 5,791,479 shares of common stock at a public offering price of $13.81 per share (the “Private Placement”), resulting in net proceeds of approximately $80 million before deducting offering expenses payable by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has been no material change in the planned use of proceeds from the Private Placement as described in the Information Statement filed with the Form 10. None of the expenses associated with our Spin-Off or the Private Placement were paid, directly or indirectly, to any of our directors or officers, any persons owning 10% or more of any class of equity securities, or to any of our affiliates.</w:t>
      </w:r>
    </w:p>
    <w:p>
      <w:pPr>
        <w:pStyle w:val="TextBody"/>
        <w:bidi w:val="0"/>
        <w:spacing w:before="24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quarter ended March 31, 2026, none of our directors or officers adopted or terminated any contracts, instruction or written plan for the purchase or sale of our securities that was intended to satisfy the affirmative defense conditions of Rule 10b5-1(c) or any "non-Rule 10b5-1 trading arrangement," as defined in Item 408(a) of Regulation S-K.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rFonts w:ascii="Times New Roman" w:hAnsi="Times New Roman"/>
          <w:color w:val="000000"/>
          <w:sz w:val="20"/>
        </w:rPr>
      </w:pPr>
      <w:r>
        <w:rPr>
          <w:rFonts w:ascii="Times New Roman" w:hAnsi="Times New Roman"/>
          <w:color w:val="000000"/>
          <w:sz w:val="20"/>
        </w:rPr>
        <w:t>The exhibits filed or furnished as part of this Quarterly Report on Form 10-Q are set forth on the Exhibit Index, below.</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0"/>
        <w:gridCol w:w="5869"/>
        <w:gridCol w:w="511"/>
        <w:gridCol w:w="742"/>
        <w:gridCol w:w="631"/>
        <w:gridCol w:w="753"/>
        <w:gridCol w:w="949"/>
      </w:tblGrid>
      <w:tr>
        <w:trPr/>
        <w:tc>
          <w:tcPr>
            <w:tcW w:w="750" w:type="dxa"/>
            <w:tcBorders/>
            <w:vAlign w:val="center"/>
          </w:tcPr>
          <w:p>
            <w:pPr>
              <w:pStyle w:val="TableContents"/>
              <w:bidi w:val="0"/>
              <w:spacing w:before="0" w:after="283"/>
              <w:jc w:val="left"/>
              <w:rPr>
                <w:sz w:val="4"/>
                <w:szCs w:val="4"/>
              </w:rPr>
            </w:pPr>
            <w:r>
              <w:rPr>
                <w:sz w:val="4"/>
                <w:szCs w:val="4"/>
              </w:rPr>
            </w:r>
          </w:p>
        </w:tc>
        <w:tc>
          <w:tcPr>
            <w:tcW w:w="586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0"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586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4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color w:val="000000"/>
                <w:sz w:val="16"/>
              </w:rPr>
              <w:t>File No.</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7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94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2.1</w:t>
            </w:r>
            <w:r>
              <w:rPr>
                <w:rFonts w:ascii="Times New Roman" w:hAnsi="Times New Roman"/>
                <w:color w:val="000000"/>
                <w:sz w:val="18"/>
              </w:rPr>
              <w:t></w:t>
            </w:r>
          </w:p>
        </w:tc>
        <w:tc>
          <w:tcPr>
            <w:tcW w:w="5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Separation and Distribution Agreement, dated as of April 20, 2026, by and between AnaptysBio, Inc. and First Tracks Biotherapeutics, Inc.</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001-43177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20, 2026</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5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Amended and Restated Certificate of Incorporation.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001-43177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53"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April 20, 2026</w:t>
            </w:r>
          </w:p>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5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Bylaws.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001-43177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753"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April 20, 2026</w:t>
            </w:r>
          </w:p>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10.1</w:t>
            </w:r>
            <w:r>
              <w:rPr>
                <w:rFonts w:ascii="Times New Roman" w:hAnsi="Times New Roman"/>
                <w:color w:val="000000"/>
                <w:sz w:val="18"/>
              </w:rPr>
              <w:t></w:t>
            </w:r>
          </w:p>
        </w:tc>
        <w:tc>
          <w:tcPr>
            <w:tcW w:w="5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Transition Services Agreement, dated as of April 20, 2026, by and between AnaptysBio, Inc. and First Tracks Biotherapeutics, Inc.</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001-43177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753"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April 20, 2026</w:t>
            </w:r>
          </w:p>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10.2</w:t>
            </w:r>
            <w:r>
              <w:rPr>
                <w:rFonts w:ascii="Times New Roman" w:hAnsi="Times New Roman"/>
                <w:color w:val="000000"/>
                <w:sz w:val="18"/>
              </w:rPr>
              <w:t></w:t>
            </w:r>
          </w:p>
        </w:tc>
        <w:tc>
          <w:tcPr>
            <w:tcW w:w="5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Registration Rights Agreement, dated as of April 20, 2026, by and among the Company and the Investors party thereto.</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8-K</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001-43177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753"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April 20, 2026</w:t>
            </w:r>
          </w:p>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10.3</w:t>
            </w:r>
            <w:r>
              <w:rPr>
                <w:rFonts w:ascii="Times New Roman" w:hAnsi="Times New Roman"/>
                <w:color w:val="000000"/>
                <w:sz w:val="18"/>
              </w:rPr>
              <w:t>*+</w:t>
            </w:r>
          </w:p>
        </w:tc>
        <w:tc>
          <w:tcPr>
            <w:tcW w:w="5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Employment Agreement, effective April 20, 2026, by and between the Registrant and Daniel Faga</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10.4</w:t>
            </w:r>
            <w:r>
              <w:rPr>
                <w:rFonts w:ascii="Times New Roman" w:hAnsi="Times New Roman"/>
                <w:color w:val="000000"/>
                <w:sz w:val="18"/>
              </w:rPr>
              <w:t>*+</w:t>
            </w:r>
          </w:p>
        </w:tc>
        <w:tc>
          <w:tcPr>
            <w:tcW w:w="5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Employment Agreement, effective April 20, 2026, by and between the Registrant and Paul Lizzul</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10.5</w:t>
            </w:r>
            <w:r>
              <w:rPr>
                <w:rFonts w:ascii="Times New Roman" w:hAnsi="Times New Roman"/>
                <w:color w:val="000000"/>
                <w:sz w:val="18"/>
              </w:rPr>
              <w:t>*+</w:t>
            </w:r>
          </w:p>
        </w:tc>
        <w:tc>
          <w:tcPr>
            <w:tcW w:w="5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Employment Agreement, effective April 20, 2026, by and between the Registrant and Ajim Tamboli</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10.6</w:t>
            </w:r>
            <w:r>
              <w:rPr>
                <w:rFonts w:ascii="Times New Roman" w:hAnsi="Times New Roman"/>
                <w:color w:val="000000"/>
                <w:sz w:val="18"/>
              </w:rPr>
              <w:t>*+</w:t>
            </w:r>
          </w:p>
        </w:tc>
        <w:tc>
          <w:tcPr>
            <w:tcW w:w="5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Employment Agreement, effective April 20, 2026, by and between the Registrant and Benjamin Stone</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10.7</w:t>
            </w:r>
            <w:r>
              <w:rPr>
                <w:rFonts w:ascii="Times New Roman" w:hAnsi="Times New Roman"/>
                <w:color w:val="000000"/>
                <w:sz w:val="18"/>
              </w:rPr>
              <w:t>+</w:t>
            </w:r>
          </w:p>
        </w:tc>
        <w:tc>
          <w:tcPr>
            <w:tcW w:w="5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 Agreement, dated November 24, 2023, by and between the Registrant and Centessa Pharmaceuticals (UK) Limited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10.8</w:t>
            </w:r>
            <w:r>
              <w:rPr>
                <w:rFonts w:ascii="Times New Roman" w:hAnsi="Times New Roman"/>
                <w:color w:val="000000"/>
                <w:sz w:val="18"/>
              </w:rPr>
              <w:t>+</w:t>
            </w:r>
          </w:p>
        </w:tc>
        <w:tc>
          <w:tcPr>
            <w:tcW w:w="5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Amendment No. 1 to License Agreement, dated April 9, 2024, by and between the Registrant and Centessa Pharmaceuticals (UK) Limited.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5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Principal Executive Officer Pursuant to Rules 13a-14(a) and 15d-14(a) under the Securities Exchange Act of 1934, as Adopted Pursuant to Section 302 of the Sarbanes-Oxley Act of 2002.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5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Principal Financial Officer Pursuant to Rules 13a-14(a) and 15d-14(a) under the Securities Exchange Act of 1934, as Adopted Pursuant to Section 302 of the Sarbanes-Oxley Act of 2002.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5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Principal Executive Officer Pursuant to 18 U.S.C. Section 1350, as Adopted Pursuant to Section 906 of the Sarbanes-Oxley Act of 2002.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5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Principal Financial Officer Pursuant to 18 U.S.C. Section 1350, as Adopted Pursuant to Section 906 of the Sarbanes-Oxley Act of 2002.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5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Report Instance Document – the instance document does not appear in the Interactive Data File because its XBRL tags are embedded within the Inline XBRL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5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5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in Inline XBRL document and contained in Exhibit 101)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Certain portions of this exhibit have been redacted pursuant to Item 601(b)(2)(ii) and Item 601(b)(10)(iv) of Regulation S-K, as applicable. The Company agrees to furnish supplementally an unredacted copy of the exhibit to the Securities and Exchange Commission upon its request.</w:t>
      </w:r>
    </w:p>
    <w:p>
      <w:pPr>
        <w:pStyle w:val="TextBody"/>
        <w:bidi w:val="0"/>
        <w:jc w:val="left"/>
        <w:rPr>
          <w:rFonts w:ascii="Times New Roman" w:hAnsi="Times New Roman"/>
          <w:color w:val="000000"/>
          <w:sz w:val="18"/>
        </w:rPr>
      </w:pPr>
      <w:r>
        <w:rPr>
          <w:rFonts w:ascii="Times New Roman" w:hAnsi="Times New Roman"/>
          <w:color w:val="000000"/>
          <w:sz w:val="18"/>
        </w:rPr>
        <w:t>* Executive compensation plan or agreement.</w:t>
      </w:r>
    </w:p>
    <w:p>
      <w:pPr>
        <w:pStyle w:val="TextBody"/>
        <w:bidi w:val="0"/>
        <w:jc w:val="left"/>
        <w:rPr>
          <w:rFonts w:ascii="Times New Roman" w:hAnsi="Times New Roman"/>
          <w:color w:val="000000"/>
          <w:sz w:val="18"/>
        </w:rPr>
      </w:pPr>
      <w:r>
        <w:rPr>
          <w:rFonts w:ascii="Times New Roman" w:hAnsi="Times New Roman"/>
          <w:color w:val="000000"/>
          <w:sz w:val="18"/>
        </w:rPr>
        <w:t>+ Certain portions of this exhibit have been redacted in accordance with Item 601(a)(6) of Regulation S-K.</w:t>
      </w:r>
    </w:p>
    <w:p>
      <w:pPr>
        <w:pStyle w:val="TextBody"/>
        <w:bidi w:val="0"/>
        <w:jc w:val="left"/>
        <w:rPr>
          <w:rFonts w:ascii="Times New Roman" w:hAnsi="Times New Roman"/>
          <w:color w:val="000000"/>
          <w:sz w:val="18"/>
        </w:rPr>
      </w:pPr>
      <w:r>
        <w:rPr>
          <w:rFonts w:ascii="Times New Roman" w:hAnsi="Times New Roman"/>
          <w:color w:val="000000"/>
          <w:sz w:val="18"/>
        </w:rPr>
        <w:t> The schedules and exhibits to this agreement have been omitted pursuant to Item 601(a)(5) of Regulation S-K. The Company agrees to furnish supplementally a copy of any omitted schedule or exhibit to the Commission upon its request.</w:t>
      </w:r>
    </w:p>
    <w:p>
      <w:pPr>
        <w:pStyle w:val="TextBody"/>
        <w:bidi w:val="0"/>
        <w:jc w:val="left"/>
        <w:rPr>
          <w:rFonts w:ascii="Times New Roman" w:hAnsi="Times New Roman"/>
          <w:sz w:val="20"/>
        </w:rPr>
      </w:pPr>
      <w:r>
        <w:rPr>
          <w:rFonts w:ascii="Times New Roman" w:hAnsi="Times New Roman"/>
          <w:color w:val="000000"/>
          <w:sz w:val="18"/>
        </w:rPr>
        <w:t>** This certification is deemed not filed for purpose of section 18 of the Exchange Act or otherwise subject to the liability of that section, nor shall it be deemed incorporated by reference into any filing under the Securities Act or the Exchange Act.</w:t>
      </w:r>
      <w:r>
        <w:rPr>
          <w:rFonts w:ascii="Times New Roman" w:hAnsi="Times New Roman"/>
          <w:color w:val="000000"/>
          <w:sz w:val="20"/>
        </w:rPr>
        <w:b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059" w:type="dxa"/>
        <w:jc w:val="left"/>
        <w:tblInd w:w="0" w:type="dxa"/>
        <w:tblLayout w:type="fixed"/>
        <w:tblCellMar>
          <w:top w:w="28" w:type="dxa"/>
          <w:left w:w="28" w:type="dxa"/>
          <w:bottom w:w="28" w:type="dxa"/>
          <w:right w:w="28" w:type="dxa"/>
        </w:tblCellMar>
      </w:tblPr>
      <w:tblGrid>
        <w:gridCol w:w="1741"/>
        <w:gridCol w:w="146"/>
        <w:gridCol w:w="406"/>
        <w:gridCol w:w="376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Tracks Biotherapeutics,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Daniel Faga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Daniel Faga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/s/Ajim Tamboli</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Ajim Tamboli</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42032</Words>
  <Characters>237743</Characters>
  <CharactersWithSpaces>279494</CharactersWithSpaces>
  <Paragraphs>3860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