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8175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17562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Lizzul Paul F.</w:t>
              </w:r>
            </w:hyperlink>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First Tracks Biotherapeutics,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TRAX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580" w:type="dxa"/>
            <w:vAlign w:val="bottom"/>
            <w:tcBorders>
              <w:top w:val="single" w:sz="8" w:color="0000EE"/>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2860" w:type="dxa"/>
            <w:vAlign w:val="bottom"/>
            <w:gridSpan w:val="4"/>
            <w:vMerge w:val="restart"/>
          </w:tcPr>
          <w:p>
            <w:pPr>
              <w:ind w:left="160"/>
              <w:spacing w:after="0" w:line="171" w:lineRule="exact"/>
              <w:rPr>
                <w:sz w:val="20"/>
                <w:szCs w:val="20"/>
                <w:color w:val="auto"/>
              </w:rPr>
            </w:pPr>
            <w:r>
              <w:rPr>
                <w:rFonts w:ascii="Times New Roman" w:cs="Times New Roman" w:eastAsia="Times New Roman" w:hAnsi="Times New Roman"/>
                <w:sz w:val="17"/>
                <w:szCs w:val="17"/>
                <w:color w:val="0000FF"/>
              </w:rPr>
              <w:t>04/20/2026</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860" w:type="dxa"/>
            <w:vAlign w:val="bottom"/>
            <w:gridSpan w:val="4"/>
            <w:vMerge w:val="continue"/>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10770 WATERIDGE CIRCLE, SUITE 210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836"/>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04" w:lineRule="exact"/>
        <w:rPr>
          <w:sz w:val="20"/>
          <w:szCs w:val="20"/>
          <w:color w:val="auto"/>
        </w:rPr>
      </w:pPr>
    </w:p>
    <w:p>
      <w:pPr>
        <w:sectPr>
          <w:pgSz w:w="11900" w:h="16838" w:orient="portrait"/>
          <w:cols w:equalWidth="0" w:num="2">
            <w:col w:w="7680" w:space="64"/>
            <w:col w:w="333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8"/>
            <w:vMerge w:val="restart"/>
          </w:tcPr>
          <w:p>
            <w:pPr>
              <w:jc w:val="center"/>
              <w:ind w:right="39"/>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8"/>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42,669</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4.95</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2"/>
                <w:szCs w:val="12"/>
                <w:color w:val="auto"/>
              </w:rPr>
            </w:pPr>
          </w:p>
        </w:tc>
        <w:tc>
          <w:tcPr>
            <w:tcW w:w="760" w:type="dxa"/>
            <w:vAlign w:val="bottom"/>
            <w:gridSpan w:val="2"/>
            <w:vMerge w:val="restart"/>
          </w:tcPr>
          <w:p>
            <w:pPr>
              <w:jc w:val="center"/>
              <w:ind w:right="276"/>
              <w:spacing w:after="0" w:line="268"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83,500</w:t>
            </w:r>
          </w:p>
        </w:tc>
        <w:tc>
          <w:tcPr>
            <w:tcW w:w="280" w:type="dxa"/>
            <w:vAlign w:val="bottom"/>
          </w:tcPr>
          <w:p>
            <w:pPr>
              <w:spacing w:after="0"/>
              <w:rPr>
                <w:sz w:val="12"/>
                <w:szCs w:val="12"/>
                <w:color w:val="auto"/>
              </w:rPr>
            </w:pPr>
          </w:p>
        </w:tc>
        <w:tc>
          <w:tcPr>
            <w:tcW w:w="7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07/29/2030</w:t>
            </w: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83,500</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83,500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7.95</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2"/>
                <w:szCs w:val="12"/>
                <w:color w:val="auto"/>
              </w:rPr>
            </w:pPr>
          </w:p>
        </w:tc>
        <w:tc>
          <w:tcPr>
            <w:tcW w:w="760" w:type="dxa"/>
            <w:vAlign w:val="bottom"/>
            <w:gridSpan w:val="2"/>
            <w:vMerge w:val="restart"/>
          </w:tcPr>
          <w:p>
            <w:pPr>
              <w:jc w:val="center"/>
              <w:ind w:right="276"/>
              <w:spacing w:after="0" w:line="268"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2"/>
                <w:szCs w:val="12"/>
                <w:color w:val="auto"/>
              </w:rPr>
            </w:pPr>
          </w:p>
        </w:tc>
        <w:tc>
          <w:tcPr>
            <w:tcW w:w="7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02/09/2031</w:t>
            </w: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45,000</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45,000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8.14</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2"/>
                <w:szCs w:val="12"/>
                <w:color w:val="auto"/>
              </w:rPr>
            </w:pPr>
          </w:p>
        </w:tc>
        <w:tc>
          <w:tcPr>
            <w:tcW w:w="760" w:type="dxa"/>
            <w:vAlign w:val="bottom"/>
            <w:gridSpan w:val="2"/>
            <w:vMerge w:val="restart"/>
          </w:tcPr>
          <w:p>
            <w:pPr>
              <w:jc w:val="center"/>
              <w:ind w:right="276"/>
              <w:spacing w:after="0" w:line="268"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70,000</w:t>
            </w:r>
          </w:p>
        </w:tc>
        <w:tc>
          <w:tcPr>
            <w:tcW w:w="280" w:type="dxa"/>
            <w:vAlign w:val="bottom"/>
          </w:tcPr>
          <w:p>
            <w:pPr>
              <w:spacing w:after="0"/>
              <w:rPr>
                <w:sz w:val="12"/>
                <w:szCs w:val="12"/>
                <w:color w:val="auto"/>
              </w:rPr>
            </w:pPr>
          </w:p>
        </w:tc>
        <w:tc>
          <w:tcPr>
            <w:tcW w:w="7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02/09/2032</w:t>
            </w: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70,000</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70,000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6.22</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2"/>
                <w:szCs w:val="12"/>
                <w:color w:val="auto"/>
              </w:rPr>
            </w:pPr>
          </w:p>
        </w:tc>
        <w:tc>
          <w:tcPr>
            <w:tcW w:w="760" w:type="dxa"/>
            <w:vAlign w:val="bottom"/>
            <w:gridSpan w:val="2"/>
            <w:vMerge w:val="restart"/>
          </w:tcPr>
          <w:p>
            <w:pPr>
              <w:jc w:val="center"/>
              <w:ind w:right="276"/>
              <w:spacing w:after="0" w:line="268"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67,070</w:t>
            </w:r>
          </w:p>
        </w:tc>
        <w:tc>
          <w:tcPr>
            <w:tcW w:w="280" w:type="dxa"/>
            <w:vAlign w:val="bottom"/>
          </w:tcPr>
          <w:p>
            <w:pPr>
              <w:spacing w:after="0"/>
              <w:rPr>
                <w:sz w:val="12"/>
                <w:szCs w:val="12"/>
                <w:color w:val="auto"/>
              </w:rPr>
            </w:pPr>
          </w:p>
        </w:tc>
        <w:tc>
          <w:tcPr>
            <w:tcW w:w="7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01/05/2033</w:t>
            </w: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67,070</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67,070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5.67</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7"/>
                <w:szCs w:val="17"/>
                <w:color w:val="auto"/>
              </w:rPr>
            </w:pPr>
          </w:p>
        </w:tc>
        <w:tc>
          <w:tcPr>
            <w:tcW w:w="760" w:type="dxa"/>
            <w:vAlign w:val="bottom"/>
            <w:gridSpan w:val="2"/>
          </w:tcPr>
          <w:p>
            <w:pPr>
              <w:jc w:val="center"/>
              <w:ind w:right="276"/>
              <w:spacing w:after="0" w:line="203" w:lineRule="exact"/>
              <w:rPr>
                <w:sz w:val="20"/>
                <w:szCs w:val="20"/>
                <w:color w:val="auto"/>
              </w:rPr>
            </w:pPr>
            <w:r>
              <w:rPr>
                <w:rFonts w:ascii="Times New Roman" w:cs="Times New Roman" w:eastAsia="Times New Roman" w:hAnsi="Times New Roman"/>
                <w:sz w:val="23"/>
                <w:szCs w:val="23"/>
                <w:color w:val="0000FF"/>
                <w:w w:val="96"/>
                <w:vertAlign w:val="subscript"/>
              </w:rPr>
              <w:t>A</w:t>
            </w:r>
            <w:r>
              <w:rPr>
                <w:rFonts w:ascii="Times New Roman" w:cs="Times New Roman" w:eastAsia="Times New Roman" w:hAnsi="Times New Roman"/>
                <w:sz w:val="10"/>
                <w:szCs w:val="10"/>
                <w:color w:val="008000"/>
                <w:w w:val="96"/>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115,540</w:t>
            </w:r>
          </w:p>
        </w:tc>
        <w:tc>
          <w:tcPr>
            <w:tcW w:w="280" w:type="dxa"/>
            <w:vAlign w:val="bottom"/>
          </w:tcPr>
          <w:p>
            <w:pPr>
              <w:spacing w:after="0"/>
              <w:rPr>
                <w:sz w:val="17"/>
                <w:szCs w:val="17"/>
                <w:color w:val="auto"/>
              </w:rPr>
            </w:pPr>
          </w:p>
        </w:tc>
        <w:tc>
          <w:tcPr>
            <w:tcW w:w="740" w:type="dxa"/>
            <w:vAlign w:val="bottom"/>
            <w:gridSpan w:val="2"/>
          </w:tcPr>
          <w:p>
            <w:pPr>
              <w:jc w:val="center"/>
              <w:ind w:right="3"/>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01/02/2034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115,540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115,540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3.97</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2"/>
                <w:szCs w:val="12"/>
                <w:color w:val="auto"/>
              </w:rPr>
            </w:pPr>
          </w:p>
        </w:tc>
        <w:tc>
          <w:tcPr>
            <w:tcW w:w="760" w:type="dxa"/>
            <w:vAlign w:val="bottom"/>
            <w:gridSpan w:val="2"/>
            <w:vMerge w:val="restart"/>
          </w:tcPr>
          <w:p>
            <w:pPr>
              <w:jc w:val="center"/>
              <w:ind w:right="276"/>
              <w:spacing w:after="0" w:line="268"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97,200</w:t>
            </w:r>
          </w:p>
        </w:tc>
        <w:tc>
          <w:tcPr>
            <w:tcW w:w="280" w:type="dxa"/>
            <w:vAlign w:val="bottom"/>
          </w:tcPr>
          <w:p>
            <w:pPr>
              <w:spacing w:after="0"/>
              <w:rPr>
                <w:sz w:val="12"/>
                <w:szCs w:val="12"/>
                <w:color w:val="auto"/>
              </w:rPr>
            </w:pPr>
          </w:p>
        </w:tc>
        <w:tc>
          <w:tcPr>
            <w:tcW w:w="7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01/06/2035</w:t>
            </w: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97,200</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97,200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11.75</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2"/>
                <w:szCs w:val="12"/>
                <w:color w:val="auto"/>
              </w:rPr>
            </w:pPr>
          </w:p>
        </w:tc>
        <w:tc>
          <w:tcPr>
            <w:tcW w:w="760" w:type="dxa"/>
            <w:vAlign w:val="bottom"/>
            <w:gridSpan w:val="2"/>
            <w:vMerge w:val="restart"/>
          </w:tcPr>
          <w:p>
            <w:pPr>
              <w:jc w:val="center"/>
              <w:ind w:right="276"/>
              <w:spacing w:after="0" w:line="268"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29,000</w:t>
            </w:r>
          </w:p>
        </w:tc>
        <w:tc>
          <w:tcPr>
            <w:tcW w:w="280" w:type="dxa"/>
            <w:vAlign w:val="bottom"/>
          </w:tcPr>
          <w:p>
            <w:pPr>
              <w:spacing w:after="0"/>
              <w:rPr>
                <w:sz w:val="12"/>
                <w:szCs w:val="12"/>
                <w:color w:val="auto"/>
              </w:rPr>
            </w:pPr>
          </w:p>
        </w:tc>
        <w:tc>
          <w:tcPr>
            <w:tcW w:w="7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01/06/2036</w:t>
            </w: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29,000</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29,000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(7)</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5"/>
                <w:szCs w:val="15"/>
                <w:color w:val="auto"/>
              </w:rPr>
            </w:pPr>
          </w:p>
        </w:tc>
        <w:tc>
          <w:tcPr>
            <w:tcW w:w="760" w:type="dxa"/>
            <w:vAlign w:val="bottom"/>
            <w:gridSpan w:val="2"/>
            <w:vMerge w:val="restart"/>
          </w:tcPr>
          <w:p>
            <w:pPr>
              <w:jc w:val="center"/>
              <w:ind w:right="276"/>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6,145</w:t>
            </w:r>
          </w:p>
        </w:tc>
        <w:tc>
          <w:tcPr>
            <w:tcW w:w="280" w:type="dxa"/>
            <w:vAlign w:val="bottom"/>
          </w:tcPr>
          <w:p>
            <w:pPr>
              <w:spacing w:after="0"/>
              <w:rPr>
                <w:sz w:val="15"/>
                <w:szCs w:val="15"/>
                <w:color w:val="auto"/>
              </w:rPr>
            </w:pPr>
          </w:p>
        </w:tc>
        <w:tc>
          <w:tcPr>
            <w:tcW w:w="7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(9)</w:t>
            </w:r>
          </w:p>
        </w:tc>
        <w:tc>
          <w:tcPr>
            <w:tcW w:w="220" w:type="dxa"/>
            <w:vAlign w:val="bottom"/>
          </w:tcPr>
          <w:p>
            <w:pPr>
              <w:spacing w:after="0"/>
              <w:rPr>
                <w:sz w:val="15"/>
                <w:szCs w:val="15"/>
                <w:color w:val="auto"/>
              </w:rPr>
            </w:pPr>
          </w:p>
        </w:tc>
        <w:tc>
          <w:tcPr>
            <w:tcW w:w="480" w:type="dxa"/>
            <w:vAlign w:val="bottom"/>
            <w:vMerge w:val="restart"/>
          </w:tcPr>
          <w:p>
            <w:pPr>
              <w:jc w:val="center"/>
              <w:ind w:right="185"/>
              <w:spacing w:after="0"/>
              <w:rPr>
                <w:sz w:val="20"/>
                <w:szCs w:val="20"/>
                <w:color w:val="auto"/>
              </w:rPr>
            </w:pPr>
            <w:r>
              <w:rPr>
                <w:rFonts w:ascii="Times New Roman" w:cs="Times New Roman" w:eastAsia="Times New Roman" w:hAnsi="Times New Roman"/>
                <w:sz w:val="11"/>
                <w:szCs w:val="11"/>
                <w:color w:val="008000"/>
                <w:w w:val="93"/>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6,145</w:t>
            </w:r>
          </w:p>
        </w:tc>
        <w:tc>
          <w:tcPr>
            <w:tcW w:w="40" w:type="dxa"/>
            <w:vAlign w:val="bottom"/>
          </w:tcPr>
          <w:p>
            <w:pPr>
              <w:spacing w:after="0"/>
              <w:rPr>
                <w:sz w:val="15"/>
                <w:szCs w:val="1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5"/>
              </w:rPr>
              <w:t>6,145</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(7)</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5"/>
                <w:szCs w:val="15"/>
                <w:color w:val="auto"/>
              </w:rPr>
            </w:pPr>
          </w:p>
        </w:tc>
        <w:tc>
          <w:tcPr>
            <w:tcW w:w="760" w:type="dxa"/>
            <w:vAlign w:val="bottom"/>
            <w:gridSpan w:val="2"/>
            <w:vMerge w:val="restart"/>
          </w:tcPr>
          <w:p>
            <w:pPr>
              <w:jc w:val="center"/>
              <w:ind w:right="276"/>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21,110</w:t>
            </w:r>
          </w:p>
        </w:tc>
        <w:tc>
          <w:tcPr>
            <w:tcW w:w="280" w:type="dxa"/>
            <w:vAlign w:val="bottom"/>
          </w:tcPr>
          <w:p>
            <w:pPr>
              <w:spacing w:after="0"/>
              <w:rPr>
                <w:sz w:val="15"/>
                <w:szCs w:val="15"/>
                <w:color w:val="auto"/>
              </w:rPr>
            </w:pPr>
          </w:p>
        </w:tc>
        <w:tc>
          <w:tcPr>
            <w:tcW w:w="74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(10)</w:t>
            </w:r>
          </w:p>
        </w:tc>
        <w:tc>
          <w:tcPr>
            <w:tcW w:w="220" w:type="dxa"/>
            <w:vAlign w:val="bottom"/>
          </w:tcPr>
          <w:p>
            <w:pPr>
              <w:spacing w:after="0"/>
              <w:rPr>
                <w:sz w:val="15"/>
                <w:szCs w:val="15"/>
                <w:color w:val="auto"/>
              </w:rPr>
            </w:pPr>
          </w:p>
        </w:tc>
        <w:tc>
          <w:tcPr>
            <w:tcW w:w="480" w:type="dxa"/>
            <w:vAlign w:val="bottom"/>
            <w:vMerge w:val="restart"/>
          </w:tcPr>
          <w:p>
            <w:pPr>
              <w:jc w:val="center"/>
              <w:ind w:right="185"/>
              <w:spacing w:after="0"/>
              <w:rPr>
                <w:sz w:val="20"/>
                <w:szCs w:val="20"/>
                <w:color w:val="auto"/>
              </w:rPr>
            </w:pPr>
            <w:r>
              <w:rPr>
                <w:rFonts w:ascii="Times New Roman" w:cs="Times New Roman" w:eastAsia="Times New Roman" w:hAnsi="Times New Roman"/>
                <w:sz w:val="11"/>
                <w:szCs w:val="11"/>
                <w:color w:val="008000"/>
                <w:w w:val="87"/>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21,110</w:t>
            </w:r>
          </w:p>
        </w:tc>
        <w:tc>
          <w:tcPr>
            <w:tcW w:w="40" w:type="dxa"/>
            <w:vAlign w:val="bottom"/>
          </w:tcPr>
          <w:p>
            <w:pPr>
              <w:spacing w:after="0"/>
              <w:rPr>
                <w:sz w:val="15"/>
                <w:szCs w:val="1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21,110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(7)</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5"/>
                <w:szCs w:val="15"/>
                <w:color w:val="auto"/>
              </w:rPr>
            </w:pPr>
          </w:p>
        </w:tc>
        <w:tc>
          <w:tcPr>
            <w:tcW w:w="760" w:type="dxa"/>
            <w:vAlign w:val="bottom"/>
            <w:gridSpan w:val="2"/>
            <w:vMerge w:val="restart"/>
          </w:tcPr>
          <w:p>
            <w:pPr>
              <w:jc w:val="center"/>
              <w:ind w:right="276"/>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25,575</w:t>
            </w:r>
          </w:p>
        </w:tc>
        <w:tc>
          <w:tcPr>
            <w:tcW w:w="280" w:type="dxa"/>
            <w:vAlign w:val="bottom"/>
          </w:tcPr>
          <w:p>
            <w:pPr>
              <w:spacing w:after="0"/>
              <w:rPr>
                <w:sz w:val="15"/>
                <w:szCs w:val="15"/>
                <w:color w:val="auto"/>
              </w:rPr>
            </w:pPr>
          </w:p>
        </w:tc>
        <w:tc>
          <w:tcPr>
            <w:tcW w:w="7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87"/>
              </w:rPr>
              <w:t>(11)</w:t>
            </w:r>
          </w:p>
        </w:tc>
        <w:tc>
          <w:tcPr>
            <w:tcW w:w="220" w:type="dxa"/>
            <w:vAlign w:val="bottom"/>
          </w:tcPr>
          <w:p>
            <w:pPr>
              <w:spacing w:after="0"/>
              <w:rPr>
                <w:sz w:val="15"/>
                <w:szCs w:val="15"/>
                <w:color w:val="auto"/>
              </w:rPr>
            </w:pPr>
          </w:p>
        </w:tc>
        <w:tc>
          <w:tcPr>
            <w:tcW w:w="480" w:type="dxa"/>
            <w:vAlign w:val="bottom"/>
            <w:vMerge w:val="restart"/>
          </w:tcPr>
          <w:p>
            <w:pPr>
              <w:jc w:val="center"/>
              <w:ind w:right="185"/>
              <w:spacing w:after="0"/>
              <w:rPr>
                <w:sz w:val="20"/>
                <w:szCs w:val="20"/>
                <w:color w:val="auto"/>
              </w:rPr>
            </w:pPr>
            <w:r>
              <w:rPr>
                <w:rFonts w:ascii="Times New Roman" w:cs="Times New Roman" w:eastAsia="Times New Roman" w:hAnsi="Times New Roman"/>
                <w:sz w:val="11"/>
                <w:szCs w:val="11"/>
                <w:color w:val="008000"/>
                <w:w w:val="87"/>
              </w:rPr>
              <w:t>(11)</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25,575</w:t>
            </w:r>
          </w:p>
        </w:tc>
        <w:tc>
          <w:tcPr>
            <w:tcW w:w="40" w:type="dxa"/>
            <w:vAlign w:val="bottom"/>
          </w:tcPr>
          <w:p>
            <w:pPr>
              <w:spacing w:after="0"/>
              <w:rPr>
                <w:sz w:val="15"/>
                <w:szCs w:val="1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25,575</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(7)</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80" w:type="dxa"/>
            <w:vAlign w:val="bottom"/>
          </w:tcPr>
          <w:p>
            <w:pPr>
              <w:spacing w:after="0"/>
              <w:rPr>
                <w:sz w:val="15"/>
                <w:szCs w:val="15"/>
                <w:color w:val="auto"/>
              </w:rPr>
            </w:pPr>
          </w:p>
        </w:tc>
        <w:tc>
          <w:tcPr>
            <w:tcW w:w="760" w:type="dxa"/>
            <w:vAlign w:val="bottom"/>
            <w:gridSpan w:val="2"/>
            <w:vMerge w:val="restart"/>
          </w:tcPr>
          <w:p>
            <w:pPr>
              <w:jc w:val="center"/>
              <w:ind w:right="276"/>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21,400</w:t>
            </w:r>
          </w:p>
        </w:tc>
        <w:tc>
          <w:tcPr>
            <w:tcW w:w="280" w:type="dxa"/>
            <w:vAlign w:val="bottom"/>
          </w:tcPr>
          <w:p>
            <w:pPr>
              <w:spacing w:after="0"/>
              <w:rPr>
                <w:sz w:val="15"/>
                <w:szCs w:val="15"/>
                <w:color w:val="auto"/>
              </w:rPr>
            </w:pPr>
          </w:p>
        </w:tc>
        <w:tc>
          <w:tcPr>
            <w:tcW w:w="74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(12)</w:t>
            </w:r>
          </w:p>
        </w:tc>
        <w:tc>
          <w:tcPr>
            <w:tcW w:w="220" w:type="dxa"/>
            <w:vAlign w:val="bottom"/>
          </w:tcPr>
          <w:p>
            <w:pPr>
              <w:spacing w:after="0"/>
              <w:rPr>
                <w:sz w:val="15"/>
                <w:szCs w:val="15"/>
                <w:color w:val="auto"/>
              </w:rPr>
            </w:pPr>
          </w:p>
        </w:tc>
        <w:tc>
          <w:tcPr>
            <w:tcW w:w="480" w:type="dxa"/>
            <w:vAlign w:val="bottom"/>
            <w:vMerge w:val="restart"/>
          </w:tcPr>
          <w:p>
            <w:pPr>
              <w:jc w:val="center"/>
              <w:ind w:right="185"/>
              <w:spacing w:after="0"/>
              <w:rPr>
                <w:sz w:val="20"/>
                <w:szCs w:val="20"/>
                <w:color w:val="auto"/>
              </w:rPr>
            </w:pPr>
            <w:r>
              <w:rPr>
                <w:rFonts w:ascii="Times New Roman" w:cs="Times New Roman" w:eastAsia="Times New Roman" w:hAnsi="Times New Roman"/>
                <w:sz w:val="11"/>
                <w:szCs w:val="11"/>
                <w:color w:val="008000"/>
                <w:w w:val="87"/>
              </w:rPr>
              <w:t>(12)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21,400</w:t>
            </w:r>
          </w:p>
        </w:tc>
        <w:tc>
          <w:tcPr>
            <w:tcW w:w="40" w:type="dxa"/>
            <w:vAlign w:val="bottom"/>
          </w:tcPr>
          <w:p>
            <w:pPr>
              <w:spacing w:after="0"/>
              <w:rPr>
                <w:sz w:val="15"/>
                <w:szCs w:val="1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21,400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-5486400</wp:posOffset>
            </wp:positionV>
            <wp:extent cx="28575" cy="549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54914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of common stock received in connection with the spin-off of First Tracks Biotherapeutics, Inc. ("First Tracks") from AnaptysBio, Inc. ("AnaptysBio").</w:t>
      </w:r>
    </w:p>
    <w:p>
      <w:pPr>
        <w:spacing w:after="0" w:line="41" w:lineRule="exact"/>
        <w:rPr>
          <w:rFonts w:ascii="Times New Roman" w:cs="Times New Roman" w:eastAsia="Times New Roman" w:hAnsi="Times New Roman"/>
          <w:sz w:val="13"/>
          <w:szCs w:val="13"/>
          <w:color w:val="008000"/>
        </w:rPr>
      </w:pPr>
    </w:p>
    <w:p>
      <w:pPr>
        <w:ind w:left="40" w:right="240"/>
        <w:spacing w:after="0" w:line="291"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Effective as of a pro rata distribution by AnaptysBio to holders of its shares of common stock pursuant to the Separation and Distribution Agreement dated as of April 20, 2026, by and between AnaptysBio and First Tracks (the "Separation Agreement"), each outstanding option to acquire AnaptysBio shares of common stock was adjusted so that such option became an option to acquire First Tracks shares of common</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line="250" w:lineRule="auto"/>
        <w:rPr>
          <w:sz w:val="20"/>
          <w:szCs w:val="20"/>
          <w:color w:val="auto"/>
        </w:rPr>
      </w:pPr>
      <w:r>
        <w:rPr>
          <w:rFonts w:ascii="Times New Roman" w:cs="Times New Roman" w:eastAsia="Times New Roman" w:hAnsi="Times New Roman"/>
          <w:sz w:val="13"/>
          <w:szCs w:val="13"/>
          <w:color w:val="008000"/>
        </w:rPr>
        <w:t>stock and an option to acquire AnaptysBio shares of common stock. As a result, the Reporting Person acquired options to acquire First Tracks shares of common stock in an amount determined in accordance with the Separation Agreement.</w:t>
      </w:r>
    </w:p>
    <w:p>
      <w:pPr>
        <w:spacing w:after="0" w:line="20" w:lineRule="exact"/>
        <w:rPr>
          <w:sz w:val="20"/>
          <w:szCs w:val="20"/>
          <w:color w:val="auto"/>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1" w:lineRule="exact"/>
        <w:rPr>
          <w:rFonts w:ascii="Times New Roman" w:cs="Times New Roman" w:eastAsia="Times New Roman" w:hAnsi="Times New Roman"/>
          <w:sz w:val="13"/>
          <w:szCs w:val="13"/>
          <w:color w:val="008000"/>
        </w:rPr>
      </w:pPr>
    </w:p>
    <w:p>
      <w:pPr>
        <w:ind w:right="100"/>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3, 2025, and thereafter vests as to 1/48 of the total shares monthly until fully vested, subject to the Reporting Person's provision of service to the Issuer on each vesting date.</w:t>
      </w:r>
    </w:p>
    <w:p>
      <w:pPr>
        <w:spacing w:after="0" w:line="19" w:lineRule="exact"/>
        <w:rPr>
          <w:rFonts w:ascii="Times New Roman" w:cs="Times New Roman" w:eastAsia="Times New Roman" w:hAnsi="Times New Roman"/>
          <w:sz w:val="13"/>
          <w:szCs w:val="13"/>
          <w:color w:val="008000"/>
        </w:rPr>
      </w:pPr>
    </w:p>
    <w:p>
      <w:pPr>
        <w:ind w:right="100"/>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7, 2026, and thereafter vests as to 1/48 of the total shares monthly until fully vested, subject to the Reporting Person's provision of service to the Issuer on each vesting date.</w:t>
      </w:r>
    </w:p>
    <w:p>
      <w:pPr>
        <w:spacing w:after="0" w:line="19" w:lineRule="exact"/>
        <w:rPr>
          <w:rFonts w:ascii="Times New Roman" w:cs="Times New Roman" w:eastAsia="Times New Roman" w:hAnsi="Times New Roman"/>
          <w:sz w:val="13"/>
          <w:szCs w:val="13"/>
          <w:color w:val="008000"/>
        </w:rPr>
      </w:pPr>
    </w:p>
    <w:p>
      <w:pPr>
        <w:ind w:right="100"/>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6, 2027, and thereafter vests as to 1/48 of the total shares monthly until fully vested, subject to the Reporting Person's provision of service to the Issuer on each vesting date.</w:t>
      </w:r>
    </w:p>
    <w:p>
      <w:pPr>
        <w:spacing w:after="0" w:line="19"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1" w:lineRule="exact"/>
        <w:rPr>
          <w:rFonts w:ascii="Times New Roman" w:cs="Times New Roman" w:eastAsia="Times New Roman" w:hAnsi="Times New Roman"/>
          <w:sz w:val="13"/>
          <w:szCs w:val="13"/>
          <w:color w:val="008000"/>
        </w:rPr>
      </w:pPr>
    </w:p>
    <w:p>
      <w:pPr>
        <w:jc w:val="both"/>
        <w:ind w:right="60"/>
        <w:spacing w:after="0" w:line="23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a pro rata distribution by AnaptysBio to holders of its shares of common stock pursuant to the Separation Agreement, each outstanding RSU with respect to AnaptysBio shares of common stock was adjusted so that such RSU became an RSU with respect to First Tracks shares of common stock and an RSU with respect to AnaptysBio's shares of common stock. As a result, the Reporting Person acquired RSU s with respect to First Tracks shares of common stock in an amount determined in accordance with the Separation Agreement.</w:t>
      </w:r>
    </w:p>
    <w:p>
      <w:pPr>
        <w:spacing w:after="0" w:line="26"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2024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3, 2025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7, 2026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2027 until fully vested, subject to the Reporting Person's provision of service to the Issuer on each vesting date.</w:t>
      </w:r>
    </w:p>
    <w:p>
      <w:pPr>
        <w:spacing w:after="0" w:line="5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Ajim Tamboli, Attorney-in-</w:t>
            </w:r>
          </w:p>
        </w:tc>
        <w:tc>
          <w:tcPr>
            <w:tcW w:w="16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04/22/2026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46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00"/>
          </w:cols>
          <w:pgMar w:left="500" w:top="127"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193" w:lineRule="exact"/>
        <w:rPr>
          <w:sz w:val="20"/>
          <w:szCs w:val="20"/>
          <w:color w:val="auto"/>
        </w:rPr>
      </w:pPr>
    </w:p>
    <w:p>
      <w:pPr>
        <w:ind w:firstLine="611"/>
        <w:spacing w:after="0" w:line="263"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Dan Faga, Ajim Tamboli and Dave McKeon, and each of them, her true and lawful attorney-in-fact to:</w:t>
      </w:r>
    </w:p>
    <w:p>
      <w:pPr>
        <w:spacing w:after="0" w:line="132" w:lineRule="exact"/>
        <w:rPr>
          <w:sz w:val="20"/>
          <w:szCs w:val="20"/>
          <w:color w:val="auto"/>
        </w:rPr>
      </w:pPr>
    </w:p>
    <w:p>
      <w:pPr>
        <w:jc w:val="both"/>
        <w:ind w:firstLine="613"/>
        <w:spacing w:after="0" w:line="250" w:lineRule="auto"/>
        <w:tabs>
          <w:tab w:leader="none" w:pos="1197"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representative of First Tracks Biotherapeutics, Inc.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any and all Form 3, 4 or 5 reports required to be filed by the undersigned in accordance with Section 16(a) of the Securities Exchange Act of 1934, as amended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and the rules thereunder with respect to transactions in securities of the Company;</w:t>
      </w:r>
    </w:p>
    <w:p>
      <w:pPr>
        <w:spacing w:after="0" w:line="157" w:lineRule="exact"/>
        <w:rPr>
          <w:rFonts w:ascii="Times New Roman" w:cs="Times New Roman" w:eastAsia="Times New Roman" w:hAnsi="Times New Roman"/>
          <w:sz w:val="19"/>
          <w:szCs w:val="19"/>
          <w:color w:val="auto"/>
        </w:rPr>
      </w:pPr>
    </w:p>
    <w:p>
      <w:pPr>
        <w:jc w:val="both"/>
        <w:ind w:firstLine="613"/>
        <w:spacing w:after="0" w:line="250" w:lineRule="auto"/>
        <w:tabs>
          <w:tab w:leader="none" w:pos="1197"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57" w:lineRule="exact"/>
        <w:rPr>
          <w:rFonts w:ascii="Times New Roman" w:cs="Times New Roman" w:eastAsia="Times New Roman" w:hAnsi="Times New Roman"/>
          <w:sz w:val="19"/>
          <w:szCs w:val="19"/>
          <w:color w:val="auto"/>
        </w:rPr>
      </w:pPr>
    </w:p>
    <w:p>
      <w:pPr>
        <w:jc w:val="both"/>
        <w:ind w:firstLine="613"/>
        <w:spacing w:after="0" w:line="246" w:lineRule="auto"/>
        <w:tabs>
          <w:tab w:leader="none" w:pos="1197"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148" w:lineRule="exact"/>
        <w:rPr>
          <w:sz w:val="20"/>
          <w:szCs w:val="20"/>
          <w:color w:val="auto"/>
        </w:rPr>
      </w:pPr>
    </w:p>
    <w:p>
      <w:pPr>
        <w:jc w:val="both"/>
        <w:ind w:firstLine="611"/>
        <w:spacing w:after="0" w:line="242"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164" w:lineRule="exact"/>
        <w:rPr>
          <w:sz w:val="20"/>
          <w:szCs w:val="20"/>
          <w:color w:val="auto"/>
        </w:rPr>
      </w:pPr>
    </w:p>
    <w:p>
      <w:pPr>
        <w:jc w:val="both"/>
        <w:ind w:firstLine="611"/>
        <w:spacing w:after="0" w:line="250"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14</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April, 2026.</w:t>
      </w:r>
    </w:p>
    <w:p>
      <w:pPr>
        <w:spacing w:after="0" w:line="200" w:lineRule="exact"/>
        <w:rPr>
          <w:sz w:val="20"/>
          <w:szCs w:val="20"/>
          <w:color w:val="auto"/>
        </w:rPr>
      </w:pPr>
    </w:p>
    <w:p>
      <w:pPr>
        <w:spacing w:after="0" w:line="26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u w:val="single" w:color="auto"/>
          <w:color w:val="auto"/>
        </w:rPr>
        <w:t>/s/ Paul Lizzul</w:t>
      </w:r>
    </w:p>
    <w:p>
      <w:pPr>
        <w:spacing w:after="0" w:line="1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Name: Paul Lizzul</w:t>
      </w:r>
    </w:p>
    <w:sectPr>
      <w:pgSz w:w="11900" w:h="16838" w:orient="portrait"/>
      <w:cols w:equalWidth="0" w:num="1">
        <w:col w:w="10980"/>
      </w:cols>
      <w:pgMar w:left="460" w:top="34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1462" TargetMode="External"/><Relationship Id="rId14" Type="http://schemas.openxmlformats.org/officeDocument/2006/relationships/hyperlink" Target="http://www.sec.gov/cgi-bin/browse-edgar?action=getcompany&amp;CIK=00020913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2026-04-22T15:19:59Z</dcterms:created>
  <dcterms:modified xsi:type="dcterms:W3CDTF">2026-04-22T15:19:59Z</dcterms:modified>
</cp:coreProperties>
</file>