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ax-20261012.htm"/>
      <w:bookmarkStart w:id="1" w:name="kstrax2026101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1071"/>
        <w:gridCol w:w="977"/>
        <w:gridCol w:w="982"/>
        <w:gridCol w:w="1846"/>
        <w:gridCol w:w="1336"/>
      </w:tblGrid>
      <w:tr>
        <w:trPr/>
        <w:tc>
          <w:tcPr>
            <w:tcW w:w="107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001-43177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10770 Wateridge Circle, Suite 210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362-6295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October 12, 2026, First Tracks Biotherapeutics, Inc. (the “Company”) updated its corporate investor presentation, a full copy of which is attached hereto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October 12 2026, the Company issued a press release announcing positive topline data from the first Phase 1b cohort of ANB033 in Celiac Disease. A copy of the press release is filed herewith as Exhibit 99.2.</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187" w:type="dxa"/>
        <w:jc w:val="left"/>
        <w:tblInd w:w="0" w:type="dxa"/>
        <w:tblLayout w:type="fixed"/>
        <w:tblCellMar>
          <w:top w:w="28" w:type="dxa"/>
          <w:left w:w="28" w:type="dxa"/>
          <w:bottom w:w="28" w:type="dxa"/>
          <w:right w:w="28" w:type="dxa"/>
        </w:tblCellMar>
      </w:tblPr>
      <w:tblGrid>
        <w:gridCol w:w="1081"/>
        <w:gridCol w:w="9106"/>
      </w:tblGrid>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910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40"/>
              <w:jc w:val="center"/>
              <w:rPr>
                <w:rFonts w:ascii="Times New Roman" w:hAnsi="Times New Roman"/>
                <w:b/>
                <w:color w:val="000000"/>
                <w:sz w:val="20"/>
              </w:rPr>
            </w:pPr>
            <w:r>
              <w:rPr>
                <w:rFonts w:ascii="Times New Roman" w:hAnsi="Times New Roman"/>
                <w:b/>
                <w:color w:val="000000"/>
                <w:sz w:val="20"/>
              </w:rPr>
              <w:t>Exhibit No.</w:t>
            </w:r>
          </w:p>
        </w:tc>
        <w:tc>
          <w:tcPr>
            <w:tcW w:w="9106" w:type="dxa"/>
            <w:tcBorders/>
            <w:tcMar>
              <w:top w:w="0" w:type="dxa"/>
              <w:left w:w="0" w:type="dxa"/>
              <w:bottom w:w="0" w:type="dxa"/>
              <w:right w:w="0" w:type="dxa"/>
            </w:tcMar>
            <w:vAlign w:val="center"/>
          </w:tcPr>
          <w:p>
            <w:pPr>
              <w:pStyle w:val="TableContents"/>
              <w:pBdr>
                <w:bottom w:val="single" w:sz="8" w:space="1" w:color="000000"/>
              </w:pBdr>
              <w:bidi w:val="0"/>
              <w:spacing w:before="0" w:after="40"/>
              <w:jc w:val="center"/>
              <w:rPr>
                <w:rFonts w:ascii="Times New Roman" w:hAnsi="Times New Roman"/>
                <w:b/>
                <w:color w:val="000000"/>
                <w:sz w:val="20"/>
              </w:rPr>
            </w:pPr>
            <w:r>
              <w:rPr>
                <w:rFonts w:ascii="Times New Roman" w:hAnsi="Times New Roman"/>
                <w:b/>
                <w:color w:val="000000"/>
                <w:sz w:val="20"/>
              </w:rPr>
              <w:t>Exhibit Title or Description</w:t>
            </w:r>
          </w:p>
        </w:tc>
      </w:tr>
      <w:tr>
        <w:trPr/>
        <w:tc>
          <w:tcPr>
            <w:tcW w:w="108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99.1</w:t>
            </w:r>
          </w:p>
        </w:tc>
        <w:tc>
          <w:tcPr>
            <w:tcW w:w="9106" w:type="dxa"/>
            <w:tcBorders/>
            <w:tcMar>
              <w:top w:w="0" w:type="dxa"/>
              <w:left w:w="0" w:type="dxa"/>
              <w:bottom w:w="0" w:type="dxa"/>
              <w:right w:w="0" w:type="dxa"/>
            </w:tcMar>
            <w:vAlign w:val="center"/>
          </w:tcPr>
          <w:p>
            <w:pPr>
              <w:pStyle w:val="TableContents"/>
              <w:bidi w:val="0"/>
              <w:spacing w:before="0" w:after="40"/>
              <w:jc w:val="left"/>
              <w:rPr/>
            </w:pPr>
            <w:hyperlink w:anchor="trax-ex99_1.htm">
              <w:r>
                <w:rPr>
                  <w:rStyle w:val="InternetLink"/>
                  <w:rFonts w:ascii="Times New Roman" w:hAnsi="Times New Roman"/>
                  <w:color w:val="0000FF"/>
                  <w:sz w:val="20"/>
                  <w:u w:val="single"/>
                </w:rPr>
                <w:t>First Tracks Corporate Presentation October 2026.</w:t>
              </w:r>
            </w:hyperlink>
          </w:p>
        </w:tc>
      </w:tr>
      <w:tr>
        <w:trPr/>
        <w:tc>
          <w:tcPr>
            <w:tcW w:w="108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99.2</w:t>
            </w:r>
          </w:p>
        </w:tc>
        <w:tc>
          <w:tcPr>
            <w:tcW w:w="9106" w:type="dxa"/>
            <w:tcBorders/>
            <w:tcMar>
              <w:top w:w="0" w:type="dxa"/>
              <w:left w:w="0" w:type="dxa"/>
              <w:bottom w:w="0" w:type="dxa"/>
              <w:right w:w="0" w:type="dxa"/>
            </w:tcMar>
            <w:vAlign w:val="center"/>
          </w:tcPr>
          <w:p>
            <w:pPr>
              <w:pStyle w:val="TableContents"/>
              <w:bidi w:val="0"/>
              <w:spacing w:before="0" w:after="40"/>
              <w:jc w:val="left"/>
              <w:rPr/>
            </w:pPr>
            <w:hyperlink w:anchor="trax-ex99_2.htm">
              <w:r>
                <w:rPr>
                  <w:rStyle w:val="InternetLink"/>
                  <w:rFonts w:ascii="Times New Roman" w:hAnsi="Times New Roman"/>
                  <w:color w:val="0000FF"/>
                  <w:sz w:val="20"/>
                  <w:u w:val="single"/>
                </w:rPr>
                <w:t>First Tracks Biotherapeutics, Inc. Press Release, dated October 12, 2026.</w:t>
              </w:r>
            </w:hyperlink>
          </w:p>
        </w:tc>
      </w:tr>
      <w:tr>
        <w:trPr/>
        <w:tc>
          <w:tcPr>
            <w:tcW w:w="1081"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104</w:t>
            </w:r>
          </w:p>
        </w:tc>
        <w:tc>
          <w:tcPr>
            <w:tcW w:w="910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274" w:type="dxa"/>
        <w:jc w:val="left"/>
        <w:tblInd w:w="0" w:type="dxa"/>
        <w:tblLayout w:type="fixed"/>
        <w:tblCellMar>
          <w:top w:w="28" w:type="dxa"/>
          <w:left w:w="28" w:type="dxa"/>
          <w:bottom w:w="28" w:type="dxa"/>
          <w:right w:w="28" w:type="dxa"/>
        </w:tblCellMar>
      </w:tblPr>
      <w:tblGrid>
        <w:gridCol w:w="556"/>
        <w:gridCol w:w="1516"/>
        <w:gridCol w:w="451"/>
        <w:gridCol w:w="375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FIRST TRACKS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Ajim Tamboli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Ajim Tamboli</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Aptos;sans-serif" w:hAnsi="Aptos;sans-serif"/>
          <w:sz w:val="24"/>
        </w:rPr>
      </w:pPr>
      <w:bookmarkStart w:id="2" w:name="trax-ex99_1.htm"/>
      <w:bookmarkStart w:id="3" w:name="kstraxex99_1"/>
      <w:bookmarkEnd w:id="2"/>
      <w:bookmarkEnd w:id="3"/>
      <w:r>
        <w:rPr>
          <w:rFonts w:ascii="Aptos;sans-serif" w:hAnsi="Aptos;sans-serif"/>
          <w:b/>
          <w:color w:val="000000"/>
          <w:sz w:val="24"/>
        </w:rPr>
        <w:t>Exhibit 99.1</w:t>
      </w:r>
      <w:r>
        <w:rPr>
          <w:rFonts w:ascii="Aptos;sans-serif" w:hAnsi="Aptos;sans-serif"/>
          <w:color w:val="000000"/>
          <w:sz w:val="24"/>
        </w:rPr>
        <w:t xml:space="preserve"> </w:t>
      </w:r>
      <w:r>
        <w:br w:type="page"/>
      </w:r>
    </w:p>
    <w:p>
      <w:pPr>
        <w:pStyle w:val="TextBody"/>
        <w:bidi w:val="0"/>
        <w:spacing w:before="0" w:after="240"/>
        <w:jc w:val="center"/>
        <w:rPr/>
      </w:pPr>
      <w:r>
        <w:rPr/>
        <w:drawing>
          <wp:inline distT="0" distB="0" distL="0" distR="0">
            <wp:extent cx="5943600" cy="442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442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419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4100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67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44672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48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44481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76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44767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76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44767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00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44005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9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4419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29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943600" cy="442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481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943600" cy="44481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9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43600" cy="4419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76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943600" cy="44767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67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943600" cy="44672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67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943600" cy="44672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76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943600" cy="44767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48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943600" cy="44481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67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943600" cy="44672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29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943600" cy="442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48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943600" cy="44481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29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943600" cy="442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29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943600" cy="44291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67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943600" cy="44672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00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5943600" cy="44100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577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943600" cy="44577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196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943600" cy="4419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481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943600" cy="444817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jc w:val="center"/>
        <w:rPr/>
      </w:pPr>
      <w:r>
        <w:rPr/>
        <w:drawing>
          <wp:inline distT="0" distB="0" distL="0" distR="0">
            <wp:extent cx="5943600" cy="4438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943600" cy="44386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bookmarkStart w:id="4" w:name="trax-ex99_2.htm"/>
      <w:bookmarkStart w:id="5" w:name="kstraxex99_2"/>
      <w:bookmarkEnd w:id="4"/>
      <w:bookmarkEnd w:id="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99.2</w:t>
      </w:r>
    </w:p>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First Tracks Biotherapeutics Announces Positive Top-Line Results for ANB033 in</w:t>
        <w:br/>
        <w:t>Gluten-Challenge Study in Celiac Disease</w:t>
      </w:r>
      <w:r>
        <w:rPr>
          <w:rFonts w:ascii="Times New Roman" w:hAnsi="Times New Roman"/>
          <w:color w:val="000000"/>
          <w:sz w:val="24"/>
        </w:rPr>
        <w:t xml:space="preserve"> </w:t>
      </w:r>
    </w:p>
    <w:p>
      <w:pPr>
        <w:pStyle w:val="TextBody"/>
        <w:bidi w:val="0"/>
        <w:jc w:val="center"/>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ANB033 achieved a statistically significant and clinically meaningful protective effect on both gluten-induced intestinal damage and symptoms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LS mean change from baseline in Vh:Cd ratio of -0.17 on ANB033 vs. -0.66 on placebo, a +0.49 placebo-adjusted delta (</w:t>
      </w:r>
      <w:r>
        <w:rPr>
          <w:rFonts w:ascii="Times New Roman" w:hAnsi="Times New Roman"/>
          <w:i/>
          <w:color w:val="000000"/>
          <w:sz w:val="22"/>
        </w:rPr>
        <w:t>p</w:t>
      </w:r>
      <w:r>
        <w:rPr>
          <w:rFonts w:ascii="Times New Roman" w:hAnsi="Times New Roman"/>
          <w:color w:val="000000"/>
          <w:sz w:val="22"/>
        </w:rPr>
        <w:t>=0.009)</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LS mean change from baseline in IEL density of -1.20 on ANB033 vs. +18.83 on placebo, a -20.03 placebo-adjusted delta (</w:t>
      </w:r>
      <w:r>
        <w:rPr>
          <w:rFonts w:ascii="Times New Roman" w:hAnsi="Times New Roman"/>
          <w:i/>
          <w:color w:val="000000"/>
          <w:sz w:val="22"/>
        </w:rPr>
        <w:t>p</w:t>
      </w:r>
      <w:r>
        <w:rPr>
          <w:rFonts w:ascii="Times New Roman" w:hAnsi="Times New Roman"/>
          <w:color w:val="000000"/>
          <w:sz w:val="22"/>
        </w:rPr>
        <w:t>&lt;0.001)</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Prevented an increase in symptoms throughout the entire gluten challenge, with lower CDSD score on ANB033 vs. placebo that was statistically significant from the first day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Well tolerated with no safety signals observed to date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Conference call and webcast today, Monday, Oct. 12, 2026, at 8:30 a.m. ET to discuss these results</w:t>
        <w:br/>
        <w:t> </w:t>
      </w:r>
    </w:p>
    <w:p>
      <w:pPr>
        <w:pStyle w:val="TextBody"/>
        <w:bidi w:val="0"/>
        <w:spacing w:before="0" w:after="240"/>
        <w:jc w:val="left"/>
        <w:rPr>
          <w:rFonts w:ascii="Times New Roman" w:hAnsi="Times New Roman"/>
          <w:sz w:val="22"/>
        </w:rPr>
      </w:pPr>
      <w:r>
        <w:rPr>
          <w:rFonts w:ascii="Times New Roman" w:hAnsi="Times New Roman"/>
          <w:b/>
          <w:color w:val="000000"/>
          <w:sz w:val="22"/>
        </w:rPr>
        <w:t xml:space="preserve">SAN DIEGO, CA — Oct. 12, 2026 — </w:t>
      </w:r>
      <w:r>
        <w:rPr>
          <w:rFonts w:ascii="Times New Roman" w:hAnsi="Times New Roman"/>
          <w:color w:val="000000"/>
          <w:sz w:val="22"/>
        </w:rPr>
        <w:t xml:space="preserve">First Tracks Biotherapeutics, Inc. (Nasdaq: TRAX), a clinical-stage biotechnology company advancing antibody therapeutics that modulate immune pathways implicated in autoimmune and inflammatory diseases, today announced positive top-line results from Cohort 1 (gluten challenge) of ANB033’s Phase 1b trial in celiac disease (CeD). ANB033, an investigational, subcutaneously administered CD122 antagonist, is designed to inhibit the signaling of both IL-15 and IL-2 on immune cells.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ANB033 demonstrated a statistically significant difference compared to placebo across key histologic endpoints, including least squares (LS) mean change in villus height-to-crypt depth (Vh:Cd) ratio, intraepithelial lymphocyte (IEL) density, and VCIEL composite scale, as well as symptom endpoints using the Celiac Disease Symptom Diary (CDSD).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In the context of an intense gluten challenge, treatment with ANB033 not only prevented an increase in IEL density, but also protected against gluten-induced intestinal damage with changes in Vh:Cd ratio remaining below the threshold considered clinically meaningful. </w:t>
      </w:r>
    </w:p>
    <w:p>
      <w:pPr>
        <w:pStyle w:val="TextBody"/>
        <w:bidi w:val="0"/>
        <w:spacing w:before="0" w:after="240"/>
        <w:jc w:val="left"/>
        <w:rPr/>
      </w:pPr>
      <w:r>
        <w:rPr>
          <w:color w:val="000000"/>
        </w:rPr>
        <w:t>“</w:t>
      </w:r>
      <w:r>
        <w:rPr>
          <w:rFonts w:ascii="Times New Roman" w:hAnsi="Times New Roman"/>
          <w:color w:val="000000"/>
          <w:sz w:val="22"/>
        </w:rPr>
        <w:t xml:space="preserve">For people living with celiac disease, trace exposure to gluten can cause intestinal damage and debilitating symptoms despite general adherence to a gluten-free diet. After treatment with ANB033, patients underwent a 14-day gluten challenge consuming the equivalent of two slices of bread a day. ANB033 achieved a statistically significant and clinically meaningful protective effect against gluten-induced intestinal damage and symptoms, while maintaining a favorable safety profile,” said Daniel Faga, president and chief executive officer. “We look forward to continuing to work with regulators, clinicians and the patient community as we advance ANB033 into late-stage development in 2027.”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The randomized, placebo-controlled Phase 1b trial in CeD is evaluating subcutaneous ANB033 administered across two cohorts: Cohort 1, a 6-week study assessing prevention of gluten-induced intestinal damage and symptoms after a 14-day gluten challenge, and Cohort 2, assessing mucosal healing in patients with a broad range of histologic and symptom severity through 12 weeks.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Cohort 1 evaluated 32 patients (17 on ANB033 and 15 on placebo) who completed dosing and the gluten challenge at Week 6. Patients received three subcutaneously administered loading doses of ANB033 or placebo at Week 0, Week 2, and Week 4, followed by a 14-day gluten challenge (6g daily, the equivalent of approximately two slices of bread,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administered by two gluten cookies). The trial assessed safety and tolerability as well as key histologic and symptom endpoints used to measure clinical benefit with a primary analysis at Week 6.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Key Efficacy Endpoints Were Achieved in Cohort 1</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ANB033 achieved the key histologic efficacy endpoints of LS mean change from baseline in Vh:Cd ratio, IEL density, and VCIEL vs. placebo at Week 6. </w:t>
      </w:r>
    </w:p>
    <w:tbl>
      <w:tblPr>
        <w:tblW w:w="6949" w:type="dxa"/>
        <w:jc w:val="left"/>
        <w:tblInd w:w="0" w:type="dxa"/>
        <w:tblLayout w:type="fixed"/>
        <w:tblCellMar>
          <w:top w:w="28" w:type="dxa"/>
          <w:left w:w="28" w:type="dxa"/>
          <w:bottom w:w="28" w:type="dxa"/>
          <w:right w:w="28" w:type="dxa"/>
        </w:tblCellMar>
      </w:tblPr>
      <w:tblGrid>
        <w:gridCol w:w="3211"/>
        <w:gridCol w:w="871"/>
        <w:gridCol w:w="946"/>
        <w:gridCol w:w="1921"/>
      </w:tblGrid>
      <w:tr>
        <w:trPr/>
        <w:tc>
          <w:tcPr>
            <w:tcW w:w="3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Histologic Endpoints (Week 6)</w:t>
            </w:r>
          </w:p>
        </w:tc>
        <w:tc>
          <w:tcPr>
            <w:tcW w:w="8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Placebo</w:t>
              <w:br/>
            </w:r>
            <w:r>
              <w:rPr>
                <w:rFonts w:ascii="Times New Roman" w:hAnsi="Times New Roman"/>
                <w:color w:val="000000"/>
                <w:sz w:val="22"/>
              </w:rPr>
              <w:t>(n=15)</w:t>
            </w:r>
          </w:p>
        </w:tc>
        <w:tc>
          <w:tcPr>
            <w:tcW w:w="9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ANB033</w:t>
              <w:br/>
            </w:r>
            <w:r>
              <w:rPr>
                <w:rFonts w:ascii="Times New Roman" w:hAnsi="Times New Roman"/>
                <w:color w:val="000000"/>
                <w:sz w:val="22"/>
              </w:rPr>
              <w:t>(n=17)</w:t>
            </w:r>
          </w:p>
        </w:tc>
        <w:tc>
          <w:tcPr>
            <w:tcW w:w="19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xml:space="preserve">Placebo-Adjusted </w:t>
              <w:br/>
              <w:t>Delta</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LS Mean Change in Vh:Cd Ratio</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-0.66</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-0.17</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+0.49</w:t>
            </w:r>
            <w:r>
              <w:rPr>
                <w:rFonts w:ascii="Times New Roman" w:hAnsi="Times New Roman"/>
                <w:i/>
                <w:color w:val="000000"/>
                <w:sz w:val="18"/>
              </w:rPr>
              <w:br/>
              <w:t>(p</w:t>
            </w:r>
            <w:r>
              <w:rPr>
                <w:rFonts w:ascii="Times New Roman" w:hAnsi="Times New Roman"/>
                <w:color w:val="000000"/>
                <w:sz w:val="18"/>
              </w:rPr>
              <w:t>=0.009</w:t>
            </w:r>
            <w:r>
              <w:rPr>
                <w:rFonts w:ascii="Times New Roman" w:hAnsi="Times New Roman"/>
                <w:i/>
                <w:color w:val="000000"/>
                <w:sz w:val="18"/>
              </w:rPr>
              <w:t>)</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LS Mean Change in IEL Density</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+18.83</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-1.20</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2"/>
              </w:rPr>
              <w:t>-20.03</w:t>
            </w:r>
            <w:r>
              <w:rPr>
                <w:rFonts w:ascii="Times New Roman" w:hAnsi="Times New Roman"/>
                <w:color w:val="000000"/>
                <w:sz w:val="24"/>
              </w:rPr>
              <w:br/>
            </w:r>
            <w:r>
              <w:rPr>
                <w:rFonts w:ascii="Times New Roman" w:hAnsi="Times New Roman"/>
                <w:i/>
                <w:color w:val="000000"/>
                <w:sz w:val="18"/>
              </w:rPr>
              <w:t>(p</w:t>
            </w:r>
            <w:r>
              <w:rPr>
                <w:rFonts w:ascii="Times New Roman" w:hAnsi="Times New Roman"/>
                <w:color w:val="000000"/>
                <w:sz w:val="18"/>
              </w:rPr>
              <w:t>&lt;0.001</w:t>
            </w:r>
            <w:r>
              <w:rPr>
                <w:rFonts w:ascii="Times New Roman" w:hAnsi="Times New Roman"/>
                <w:i/>
                <w:color w:val="000000"/>
                <w:sz w:val="18"/>
              </w:rPr>
              <w:t>)</w:t>
            </w:r>
          </w:p>
        </w:tc>
      </w:tr>
      <w:tr>
        <w:trPr/>
        <w:tc>
          <w:tcPr>
            <w:tcW w:w="32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LS Mean Change in VCIEL</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-3.59</w:t>
            </w:r>
          </w:p>
        </w:tc>
        <w:tc>
          <w:tcPr>
            <w:tcW w:w="9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-0.25</w:t>
            </w:r>
          </w:p>
        </w:tc>
        <w:tc>
          <w:tcPr>
            <w:tcW w:w="19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+3.33</w:t>
              <w:br/>
            </w:r>
            <w:r>
              <w:rPr>
                <w:rFonts w:ascii="Times New Roman" w:hAnsi="Times New Roman"/>
                <w:i/>
                <w:color w:val="000000"/>
                <w:sz w:val="18"/>
              </w:rPr>
              <w:t>(p</w:t>
            </w:r>
            <w:r>
              <w:rPr>
                <w:rFonts w:ascii="Times New Roman" w:hAnsi="Times New Roman"/>
                <w:color w:val="000000"/>
                <w:sz w:val="18"/>
              </w:rPr>
              <w:t>=0.002</w:t>
            </w:r>
            <w:r>
              <w:rPr>
                <w:rFonts w:ascii="Times New Roman" w:hAnsi="Times New Roman"/>
                <w:i/>
                <w:color w:val="000000"/>
                <w:sz w:val="18"/>
              </w:rPr>
              <w:t>)</w:t>
            </w:r>
          </w:p>
        </w:tc>
      </w:tr>
    </w:tbl>
    <w:p>
      <w:pPr>
        <w:pStyle w:val="TextBody"/>
        <w:bidi w:val="0"/>
        <w:spacing w:before="0" w:after="240"/>
        <w:jc w:val="left"/>
        <w:rPr>
          <w:rFonts w:ascii="Times New Roman" w:hAnsi="Times New Roman"/>
          <w:sz w:val="22"/>
        </w:rPr>
      </w:pPr>
      <w:r>
        <w:rPr>
          <w:rFonts w:ascii="Times New Roman" w:hAnsi="Times New Roman"/>
          <w:color w:val="000000"/>
          <w:sz w:val="24"/>
        </w:rPr>
        <w:br/>
      </w:r>
      <w:r>
        <w:rPr>
          <w:rFonts w:ascii="Times New Roman" w:hAnsi="Times New Roman"/>
          <w:color w:val="000000"/>
          <w:sz w:val="22"/>
        </w:rPr>
        <w:t xml:space="preserve">Using the Celiac Disease Symptom Diary (CDSD), symptoms were assessed daily through the entire 14-day gluten challenge. The CDSD is a validated, patient-reported outcome measure that assesses the frequency and severity of five key celiac disease symptoms which are abdominal pain, bloating, nausea, diarrhea and tiredness. </w:t>
      </w:r>
      <w:r>
        <w:rPr>
          <w:rFonts w:ascii="Times New Roman" w:hAnsi="Times New Roman"/>
          <w:color w:val="000000"/>
          <w:sz w:val="24"/>
        </w:rPr>
        <w:br/>
        <w:br/>
      </w:r>
      <w:r>
        <w:rPr>
          <w:rFonts w:ascii="Times New Roman" w:hAnsi="Times New Roman"/>
          <w:color w:val="000000"/>
          <w:sz w:val="22"/>
        </w:rPr>
        <w:t xml:space="preserve">Symptom findings during the gluten challenge were as follows –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Placebo patients experienced a marked increase in symptoms consistent with an intense gluten challenge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ANB033 prevented an increase in symptoms throughout the entire gluten challenge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47% of placebo patients and only 6% of ANB033 patients took permitted medications to mitigate their GI symptoms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 xml:space="preserve">Lower CDSD score on ANB033 vs. placebo, a statistically significant difference from the first day through the seventh day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2"/>
        </w:rPr>
      </w:pPr>
      <w:r>
        <w:rPr>
          <w:rFonts w:ascii="Times New Roman" w:hAnsi="Times New Roman"/>
          <w:color w:val="000000"/>
          <w:sz w:val="22"/>
        </w:rPr>
        <w:t>Lower moderate-to-severe symptoms on ANB033 vs. placebo, a statistically significant difference from the first day through the twelfth day</w:t>
      </w:r>
      <w:r>
        <w:rPr>
          <w:rFonts w:ascii="Times New Roman" w:hAnsi="Times New Roman"/>
          <w:color w:val="000000"/>
          <w:sz w:val="24"/>
        </w:rPr>
        <w:br/>
      </w:r>
      <w:r>
        <w:rPr>
          <w:rFonts w:ascii="Times New Roman" w:hAnsi="Times New Roman"/>
          <w:color w:val="000000"/>
          <w:sz w:val="22"/>
        </w:rPr>
        <w:t> </w:t>
      </w:r>
    </w:p>
    <w:p>
      <w:pPr>
        <w:pStyle w:val="TextBody"/>
        <w:bidi w:val="0"/>
        <w:spacing w:before="0" w:after="240"/>
        <w:jc w:val="left"/>
        <w:rPr>
          <w:color w:val="000000"/>
        </w:rPr>
      </w:pPr>
      <w:r>
        <w:rPr>
          <w:color w:val="000000"/>
        </w:rPr>
        <w:t>“</w:t>
      </w:r>
      <w:r>
        <w:rPr>
          <w:rFonts w:ascii="Times New Roman" w:hAnsi="Times New Roman"/>
          <w:color w:val="000000"/>
          <w:sz w:val="22"/>
        </w:rPr>
        <w:t>It is remarkable to see, for the first time, both statistically significant prevention of symptoms and Vh:Cd benefit in the same study. Equally impressive, ANB033 showed changes from baseline that remained below the threshold considered clinically meaningful in an intense gluten challenge,” said Benjamin Lebwohl, M.D., MS, professor of Medicine and Epidemiology at NY-Presbyterian/Columbia University Irving Medical Center and director of Clinical Research at the Celiac Disease Center at Columbia University. “ANB033 takes a novel approach to treating celiac disease by targeting CD122 and blocking both IL-15 and IL-2 signaling, two key drivers of inflammation that damage the intestine, with IL-2 closely linked to symptom development. For the largest autoimmune disease without an approved therapeutic option, these findings are an important advance for the celiac disease community.”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ANB033 Well Tolerated with No Safety Signals Observed to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ANB033 demonstrated a consistent, favorable safety and tolerability profile with no serious adverse events (SAEs), no severe adverse events (AEs) and no AEs leading to discontinuation. </w:t>
      </w:r>
    </w:p>
    <w:tbl>
      <w:tblPr>
        <w:tblW w:w="7933" w:type="dxa"/>
        <w:jc w:val="left"/>
        <w:tblInd w:w="0" w:type="dxa"/>
        <w:tblLayout w:type="fixed"/>
        <w:tblCellMar>
          <w:top w:w="28" w:type="dxa"/>
          <w:left w:w="28" w:type="dxa"/>
          <w:bottom w:w="28" w:type="dxa"/>
          <w:right w:w="28" w:type="dxa"/>
        </w:tblCellMar>
      </w:tblPr>
      <w:tblGrid>
        <w:gridCol w:w="4081"/>
        <w:gridCol w:w="1156"/>
        <w:gridCol w:w="1201"/>
        <w:gridCol w:w="1495"/>
      </w:tblGrid>
      <w:tr>
        <w:trPr/>
        <w:tc>
          <w:tcPr>
            <w:tcW w:w="408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40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Participants with Adverse Events</w:t>
            </w:r>
          </w:p>
        </w:tc>
        <w:tc>
          <w:tcPr>
            <w:tcW w:w="11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Placebo</w:t>
              <w:br/>
            </w:r>
            <w:r>
              <w:rPr>
                <w:rFonts w:ascii="Times New Roman" w:hAnsi="Times New Roman"/>
                <w:color w:val="000000"/>
                <w:sz w:val="22"/>
              </w:rPr>
              <w:t>(n=16)</w:t>
            </w:r>
          </w:p>
        </w:tc>
        <w:tc>
          <w:tcPr>
            <w:tcW w:w="12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ANB033</w:t>
              <w:br/>
            </w:r>
            <w:r>
              <w:rPr>
                <w:rFonts w:ascii="Times New Roman" w:hAnsi="Times New Roman"/>
                <w:color w:val="000000"/>
                <w:sz w:val="22"/>
              </w:rPr>
              <w:t>(n=18)</w:t>
            </w:r>
          </w:p>
        </w:tc>
        <w:tc>
          <w:tcPr>
            <w:tcW w:w="149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Overall</w:t>
              <w:br/>
            </w:r>
            <w:r>
              <w:rPr>
                <w:rFonts w:ascii="Times New Roman" w:hAnsi="Times New Roman"/>
                <w:color w:val="000000"/>
                <w:sz w:val="22"/>
              </w:rPr>
              <w:t>(n=34)</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Any AE (n, %)</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16 (100%)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16 (88.9%)</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49"/>
              <w:jc w:val="center"/>
              <w:rPr>
                <w:rFonts w:ascii="Times New Roman" w:hAnsi="Times New Roman"/>
                <w:b/>
                <w:color w:val="000000"/>
                <w:sz w:val="22"/>
              </w:rPr>
            </w:pPr>
            <w:r>
              <w:rPr>
                <w:rFonts w:ascii="Times New Roman" w:hAnsi="Times New Roman"/>
                <w:b/>
                <w:color w:val="000000"/>
                <w:sz w:val="22"/>
              </w:rPr>
              <w:t>32 (94.1%)</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249"/>
              <w:jc w:val="left"/>
              <w:rPr>
                <w:rFonts w:ascii="Times New Roman" w:hAnsi="Times New Roman"/>
                <w:color w:val="000000"/>
                <w:sz w:val="22"/>
              </w:rPr>
            </w:pPr>
            <w:r>
              <w:rPr>
                <w:rFonts w:ascii="Times New Roman" w:hAnsi="Times New Roman"/>
                <w:color w:val="000000"/>
                <w:sz w:val="22"/>
              </w:rPr>
              <w:t>Any SAE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 (0%)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 (0%)</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Any severe AE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 (6.3%)</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 (2.9%)</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Any moderate AE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 (75.0%)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 (16.7%)</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 (44.1%)</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AE leading to treatment discontinuation</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 (6.3%)</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 (2.9%)</w:t>
            </w:r>
          </w:p>
        </w:tc>
      </w:tr>
      <w:tr>
        <w:trPr/>
        <w:tc>
          <w:tcPr>
            <w:tcW w:w="7933" w:type="dxa"/>
            <w:gridSpan w:val="4"/>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AEs occurring in ≥ 3 participants</w:t>
            </w:r>
            <w:r>
              <w:rPr>
                <w:rFonts w:ascii="Times New Roman" w:hAnsi="Times New Roman"/>
                <w:color w:val="000000"/>
                <w:sz w:val="22"/>
              </w:rPr>
              <w:t xml:space="preserve"> </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Nausea</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7 (43.8%)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1 (5.6%)</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8 (23.5%)</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Abdominal pain</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6 (37.5%)</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2 (11.1%)</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8 (23.5%)</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color w:val="000000"/>
              </w:rPr>
              <w:t>     </w:t>
            </w:r>
            <w:r>
              <w:rPr>
                <w:rFonts w:ascii="Times New Roman" w:hAnsi="Times New Roman"/>
                <w:color w:val="000000"/>
                <w:sz w:val="22"/>
              </w:rPr>
              <w:t xml:space="preserve">Injection site erythema </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2 (12.5%)</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5 (27.8%)</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7 (20.6%)</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Fatigue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5 (31.3%)</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1 (5.6%)</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6 (17.6%)</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Diarrhea</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4 (25.0%)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2 (11.1%)</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6 (17.6%)</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Vomiting</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4 (25.0%)</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2 (11.1%)</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6 (17.6%)</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Upper respiratory tract infection</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2 (11.1%)</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5 (14.7%)</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Injection site bruising</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1 (5.6%)</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4 (11.8%)</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Headache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1 (5.6%)</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4 (11.8%)</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Abdominal distension</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(8.8%)</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Constipation</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(8.8%)</w:t>
            </w:r>
          </w:p>
        </w:tc>
      </w:tr>
      <w:tr>
        <w:trPr/>
        <w:tc>
          <w:tcPr>
            <w:tcW w:w="40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2"/>
              </w:rPr>
              <w:t>Flatulence</w:t>
            </w:r>
          </w:p>
        </w:tc>
        <w:tc>
          <w:tcPr>
            <w:tcW w:w="11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(18.8%)</w:t>
            </w:r>
          </w:p>
        </w:tc>
        <w:tc>
          <w:tcPr>
            <w:tcW w:w="1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0 (0%)</w:t>
            </w:r>
          </w:p>
        </w:tc>
        <w:tc>
          <w:tcPr>
            <w:tcW w:w="149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262626"/>
                <w:sz w:val="22"/>
              </w:rPr>
            </w:pPr>
            <w:r>
              <w:rPr>
                <w:rFonts w:ascii="Times New Roman" w:hAnsi="Times New Roman"/>
                <w:color w:val="262626"/>
                <w:sz w:val="22"/>
              </w:rPr>
              <w:t>3 (8.8%)</w:t>
            </w:r>
          </w:p>
        </w:tc>
      </w:tr>
    </w:tbl>
    <w:p>
      <w:pPr>
        <w:pStyle w:val="TextBody"/>
        <w:bidi w:val="0"/>
        <w:spacing w:before="0" w:after="240"/>
        <w:jc w:val="left"/>
        <w:rPr>
          <w:rFonts w:ascii="Times New Roman" w:hAnsi="Times New Roman"/>
          <w:i/>
          <w:color w:val="000000"/>
          <w:sz w:val="16"/>
        </w:rPr>
      </w:pPr>
      <w:r>
        <w:rPr>
          <w:rFonts w:ascii="Times New Roman" w:hAnsi="Times New Roman"/>
          <w:i/>
          <w:color w:val="000000"/>
          <w:sz w:val="16"/>
        </w:rPr>
        <w:t>Safety analysis set includes two additional participants who were randomized in Cohort 1 but discontinued the study prior to initiating the gluten challenge, were therefore unevaluable for gluten challenge efficacy analysis and did not undergo the second biopsy at Week 6. The one participant on ANB033 discontinued due to a decision not to undergo the gluten challenge.</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Next Steps for ANB033</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First Tracks Biotherapeutics will continue to engage with regulatory agencies, including the U.S. FDA, which has already granted ANB033 Fast Track designation, to discuss and align on the next phase of development for ANB033 in CeD. We anticipate starting a late-stage clinical trial in CeD in 2027.</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Cohort 2 of ANB033’s Phase 1b trial in CeD, which is assessing mucosal healing in patients with a broad range of histologic (Vh:Cd ratio ≤ 2.5) and symptom severity through 12 weeks, is on track to complete enrollment imminently, with top-line data anticipated in Q1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Phase 1b cohort in eosinophilic esophagitis (EoE) is enrolling 50 patients with top-line data anticipated in Q3 2027. Additionally, we are also on track to initiate Phase 2 development in vitiligo and one additional indication in H1 2027.</w:t>
      </w:r>
    </w:p>
    <w:p>
      <w:pPr>
        <w:pStyle w:val="TextBody"/>
        <w:bidi w:val="0"/>
        <w:spacing w:before="0" w:after="240"/>
        <w:jc w:val="left"/>
        <w:rPr>
          <w:color w:val="000000"/>
        </w:rPr>
      </w:pPr>
      <w:r>
        <w:rPr>
          <w:color w:val="000000"/>
        </w:rPr>
        <w:t>“</w:t>
      </w:r>
      <w:r>
        <w:rPr>
          <w:rFonts w:ascii="Times New Roman" w:hAnsi="Times New Roman"/>
          <w:color w:val="000000"/>
          <w:sz w:val="22"/>
        </w:rPr>
        <w:t>The consistency of the histologic and symptom findings strengthens our confidence in the underlying biology and supports continued development of ANB033 in celiac disease and other conditions driven by this pathway, including eosinophilic esophagitis and vitiligo,” added Paul Lizzul, M.D., Ph.D., chief medical officer. “We are deeply grateful to the patients, investigators and study teams who made this important milestone possible and look forward to presenting these results at ICDS in Melbourne in November.”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First Tracks Biotherapeutics Investor Call</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Management will host an investor call and live webcast, with an accompanying slide presentation, to review the Cohort 1 results today, Monday, Oct. 12, 2026, at 8:30 a.m. ET / 5:30 a.m. PT. A live webcast of the call will be available on the First Tracks Biotherapeutics website at: </w:t>
      </w:r>
      <w:r>
        <w:rPr>
          <w:rFonts w:ascii="Times New Roman" w:hAnsi="Times New Roman"/>
          <w:color w:val="0563C1"/>
          <w:sz w:val="22"/>
        </w:rPr>
        <w:t>https://ir.firsttracksbio.com/news-events/events</w:t>
      </w:r>
      <w:r>
        <w:rPr>
          <w:rFonts w:ascii="Times New Roman" w:hAnsi="Times New Roman"/>
          <w:color w:val="000000"/>
          <w:sz w:val="22"/>
        </w:rPr>
        <w:t>. A replay of the webcast will be available for at least 30 days following the event.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About ANB033</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ANB033, a potentially best-in-class CD122 antagonist, targets CD122, the common beta subunit of the IL-15 and IL-2 receptors, to reduce subsets of CD8+ and CD4+ T cells, NK cells, as well as ILC2s. Antagonizing CD122 has the potential to achieve and maintain remission of inflammation through the reduction of disease-causing cytolytic CD8 T cell subsets, including IELs and NK cells and reducing inflammatory cytokine secretion by activated CD4+ Th1 and Th2 cells, as well as ILC2 cells.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About First Tracks Biotherapeutics</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First Tracks Biotherapeutics is a clinical stage biotechnology company advancing antibody therapies that modulate immune pathways implicated in autoimmune and inflammatory diseases. Its pipeline includes ANB033, a CD122 antagonist in development for celiac disease and eosinophilic esophagitis; rosnilimab, a pathogenic T cell depleter in development for rheumatoid arthritis; and ANB101, a BDCA2 modulator. To learn more, visit </w:t>
      </w:r>
      <w:r>
        <w:rPr>
          <w:rFonts w:ascii="Times New Roman" w:hAnsi="Times New Roman"/>
          <w:color w:val="0563C1"/>
          <w:sz w:val="22"/>
        </w:rPr>
        <w:t>www.FirstTracksBio.com</w:t>
      </w:r>
      <w:r>
        <w:rPr>
          <w:rFonts w:ascii="Times New Roman" w:hAnsi="Times New Roman"/>
          <w:color w:val="000000"/>
          <w:sz w:val="22"/>
        </w:rPr>
        <w:t xml:space="preserve"> or follow us on </w:t>
      </w:r>
      <w:r>
        <w:rPr>
          <w:rFonts w:ascii="Times New Roman" w:hAnsi="Times New Roman"/>
          <w:sz w:val="22"/>
        </w:rPr>
        <w:t>LinkedIn</w:t>
      </w:r>
      <w:r>
        <w:rPr>
          <w:rFonts w:ascii="Times New Roman" w:hAnsi="Times New Roman"/>
          <w:color w:val="000000"/>
          <w:sz w:val="22"/>
        </w:rPr>
        <w: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color w:val="000000"/>
          <w:sz w:val="22"/>
        </w:rPr>
      </w:pPr>
      <w:r>
        <w:rPr>
          <w:rFonts w:ascii="Times New Roman" w:hAnsi="Times New Roman"/>
          <w:color w:val="000000"/>
          <w:sz w:val="22"/>
        </w:rPr>
        <w:t xml:space="preserve">This press release contains forward-looking statements within the meaning of the “safe harbor” provisions of the Private Securities Litigation Reform Act of 1995, including, but not limited to: the potential benefits, efficacy and safety profile of ANB033 and the Company’s other product candidates; the Company’s regulatory plans for ANB033 in celiac disease; and the anticipated timing of the initiation of, enrollment in, and data from, the Company’s clinical trials, including top-line data from Cohort 2 of ANB033's Phase 1b clinical trial in celiac disease and Phase 1b clinical trial in eosinophilic esophagitis, a late-stage trial in celiac disease and Phase 2 development in vitiligo and one additional indication.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286"/>
        <w:gridCol w:w="3916"/>
      </w:tblGrid>
      <w:tr>
        <w:trPr/>
        <w:tc>
          <w:tcPr>
            <w:tcW w:w="328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Investor Contact: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Media Contact:</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Nick Montemarano</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Monique da Silva</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Vice President, Investor Relations</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Vice President, Corporate Affairs</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858.732.0178</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858.366.9074</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563C1"/>
                <w:sz w:val="22"/>
              </w:rPr>
              <w:t>investors@firsttracksbio.com</w:t>
            </w:r>
            <w:r>
              <w:rPr>
                <w:rFonts w:ascii="Times New Roman" w:hAnsi="Times New Roman"/>
                <w:color w:val="000000"/>
                <w:sz w:val="22"/>
              </w:rPr>
              <w:t xml:space="preserve">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563C1"/>
                <w:sz w:val="22"/>
              </w:rPr>
            </w:pPr>
            <w:r>
              <w:rPr>
                <w:rFonts w:ascii="Times New Roman" w:hAnsi="Times New Roman"/>
                <w:color w:val="0563C1"/>
                <w:sz w:val="22"/>
              </w:rPr>
              <w:t>media@firsttracksbio.com</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2423</Words>
  <Characters>13734</Characters>
  <CharactersWithSpaces>16101</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