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ax-20260812.htm"/>
      <w:bookmarkStart w:id="1" w:name="kstrax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On August 12, 2026, First Tracks Biotherapeutics, Inc. (“First Tracks”) issued a press release announcing its financial results for the three and six months ended June 30, 2026. A copy of the press release is attached as Exhibit 99.1 to this Current Report on Form 8-K.</w:t>
      </w:r>
    </w:p>
    <w:p>
      <w:pPr>
        <w:pStyle w:val="TextBody"/>
        <w:bidi w:val="0"/>
        <w:jc w:val="left"/>
        <w:rPr>
          <w:rFonts w:ascii="Times New Roman" w:hAnsi="Times New Roman"/>
          <w:color w:val="000000"/>
          <w:sz w:val="22"/>
        </w:rPr>
      </w:pPr>
      <w:r>
        <w:rPr>
          <w:rFonts w:ascii="Times New Roman" w:hAnsi="Times New Roman"/>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First Tracks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1323"/>
        <w:gridCol w:w="8882"/>
      </w:tblGrid>
      <w:tr>
        <w:trPr/>
        <w:tc>
          <w:tcPr>
            <w:tcW w:w="1323"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r>
      <w:tr>
        <w:trPr/>
        <w:tc>
          <w:tcPr>
            <w:tcW w:w="132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Number</w:t>
            </w:r>
          </w:p>
        </w:tc>
        <w:tc>
          <w:tcPr>
            <w:tcW w:w="888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Title or Description</w:t>
            </w:r>
          </w:p>
        </w:tc>
      </w:tr>
      <w:tr>
        <w:trPr/>
        <w:tc>
          <w:tcPr>
            <w:tcW w:w="1323" w:type="dxa"/>
            <w:tcBorders/>
            <w:tcMar>
              <w:top w:w="0" w:type="dxa"/>
              <w:left w:w="0" w:type="dxa"/>
              <w:bottom w:w="0" w:type="dxa"/>
              <w:right w:w="0" w:type="dxa"/>
            </w:tcMar>
            <w:vAlign w:val="center"/>
          </w:tcPr>
          <w:p>
            <w:pPr>
              <w:pStyle w:val="TableContents"/>
              <w:bidi w:val="0"/>
              <w:spacing w:before="53" w:after="30"/>
              <w:jc w:val="left"/>
              <w:rPr/>
            </w:pPr>
            <w:hyperlink w:anchor="trax-ex99_1.htm">
              <w:r>
                <w:rPr>
                  <w:rStyle w:val="InternetLink"/>
                  <w:rFonts w:ascii="Times New Roman" w:hAnsi="Times New Roman"/>
                  <w:color w:val="0000FF"/>
                  <w:sz w:val="22"/>
                  <w:u w:val="single"/>
                </w:rPr>
                <w:t>99.1</w:t>
              </w:r>
            </w:hyperlink>
          </w:p>
        </w:tc>
        <w:tc>
          <w:tcPr>
            <w:tcW w:w="888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Press release issued by First Tracks Biotherapeutics, Inc. regarding its financial results for the three and six months ended June 30, 2026, dated August 12, 2026.</w:t>
            </w:r>
          </w:p>
        </w:tc>
      </w:tr>
      <w:tr>
        <w:trPr/>
        <w:tc>
          <w:tcPr>
            <w:tcW w:w="132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104</w:t>
            </w:r>
          </w:p>
        </w:tc>
        <w:tc>
          <w:tcPr>
            <w:tcW w:w="888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Cover Page Interactive Data File (the cover page XBRL tags are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456"/>
        <w:gridCol w:w="451"/>
        <w:gridCol w:w="397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FIRST TRACKS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Ajim Tamboli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Ajim Tamboli</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rax-ex99_1.htm"/>
      <w:bookmarkStart w:id="3" w:name="kstrax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240" w:after="240"/>
        <w:jc w:val="center"/>
        <w:rPr>
          <w:rFonts w:ascii="Times New Roman" w:hAnsi="Times New Roman"/>
          <w:b/>
          <w:color w:val="000000"/>
          <w:sz w:val="28"/>
        </w:rPr>
      </w:pPr>
      <w:r>
        <w:rPr>
          <w:rFonts w:ascii="Times New Roman" w:hAnsi="Times New Roman"/>
          <w:b/>
          <w:color w:val="000000"/>
          <w:sz w:val="28"/>
        </w:rPr>
        <w:t>First Tracks Biotherapeutics Announces Second Quarter 2026 Financial Results and Provides Business Update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Completed enrollment for Cohort 1 (gluten challenge) of Phase 1b ANB033 trial in celiac disease (CeD); top-line Cohort 1 data reaffirmed for Q4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Cohort 2 (mucosal healing) enhanced to enroll up to 40 patients including those with a broad range of histologic (Vh:Cd ratio ≤ 2.5) and symptom severity to further inform future development; top-line Cohort 2 data anticipated in Q1 2027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U.S. FDA granted Fast Track designation for ANB033 for the treatment of CeD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Enrollment ongoing for Phase 1b ANB033 trial in eosinophilic esophagitis (EoE); top-line data anticipated in Q3 2027</w:t>
      </w:r>
    </w:p>
    <w:p>
      <w:pPr>
        <w:pStyle w:val="TextBody"/>
        <w:bidi w:val="0"/>
        <w:spacing w:before="0" w:after="360"/>
        <w:jc w:val="left"/>
        <w:rPr>
          <w:color w:val="000000"/>
        </w:rPr>
      </w:pPr>
      <w:r>
        <w:rPr>
          <w:color w:val="000000"/>
        </w:rPr>
        <w:t>•</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Reiterating cash-runway into Q2 2028, including the expansion of ANB033 into two additional indications in H1 2027</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SAN DIEGO, CA — Aug. 12, 2026 — </w:t>
      </w:r>
      <w:r>
        <w:rPr>
          <w:rFonts w:ascii="Times New Roman" w:hAnsi="Times New Roman"/>
          <w:color w:val="000000"/>
          <w:sz w:val="22"/>
        </w:rPr>
        <w:t>First Tracks Biotherapeutics, Inc. (Nasdaq: TRAX), a clinical-stage biotechnology company advancing antibody therapeutics that modulate immune pathways implicated in autoimmune and inflammatory diseases, today reported financial results for the second quarter ended June 30, 2026, and provided a business update.</w:t>
      </w:r>
    </w:p>
    <w:p>
      <w:pPr>
        <w:pStyle w:val="TextBody"/>
        <w:bidi w:val="0"/>
        <w:jc w:val="left"/>
        <w:rPr>
          <w:color w:val="000000"/>
        </w:rPr>
      </w:pPr>
      <w:r>
        <w:rPr>
          <w:color w:val="000000"/>
        </w:rPr>
        <w:t>“</w:t>
      </w:r>
      <w:r>
        <w:rPr>
          <w:rFonts w:ascii="Times New Roman" w:hAnsi="Times New Roman"/>
          <w:color w:val="000000"/>
          <w:sz w:val="22"/>
        </w:rPr>
        <w:t>First Tracks continues to execute against a broad development strategy for our potentially best-in-class CD122 antagonist, ANB033, and anticipates treating patients across four indications in 2027. We believe ANB033 is uniquely positioned to deliver differentiated clinical and biological outcomes across multiple immune-mediated diseases,” said Daniel Faga, president and chief executive officer. “In celiac disease, FDA’s Fast Track designation for ANB033 underscores both the urgency of the significant unmet need for patients and the potential of this program. We will report top-line data from Cohort 1 of the Phase 1b trial in Q4 2026, evaluating ANB033's potential to prevent gluten-induced mucosal injury. Cohort 2 of this study is enrolling patients with disease across a wide range of histologic and symptom severity at baseline with the goal of generating deeper insights into timing to mucosal healing and disease biology. We anticipate reporting these data in Q1 2027, followed by top-line data from our Phase 1b trial of ANB033 in eosinophilic esophagitis in Q3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ANB033 (CD122 antagonist)</w:t>
        <w:br/>
      </w:r>
      <w:r>
        <w:rPr>
          <w:rFonts w:ascii="Times New Roman" w:hAnsi="Times New Roman"/>
          <w:color w:val="000000"/>
          <w:sz w:val="20"/>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Phase 1b trial in celiac disease ongoing</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U.S. FDA granted Fast Track designation to ANB033 for the treatment of people with CeD on a gluten-free diet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 xml:space="preserve">70-patient trial assessing one dose level of subcutaneously administered ANB033 </w:t>
      </w:r>
      <w:r>
        <w:rPr>
          <w:rFonts w:ascii="Times New Roman" w:hAnsi="Times New Roman"/>
          <w:i/>
          <w:color w:val="000000"/>
          <w:sz w:val="22"/>
        </w:rPr>
        <w:t>vs</w:t>
      </w:r>
      <w:r>
        <w:rPr>
          <w:rFonts w:ascii="Times New Roman" w:hAnsi="Times New Roman"/>
          <w:color w:val="000000"/>
          <w:sz w:val="22"/>
        </w:rPr>
        <w:t xml:space="preserve">. placebo (randomized 1:1) across two different cohorts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Cohort 1 (n=30) is a gluten-challenge study to assess the prevention of mucosal damage through six weeks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Top-line Cohort 1 data reaffirmed for Q4 2026</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Cohort 2 (n=40) assesses the possibility of mucosal healing through 12 weeks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Cohort enhanced to enroll up to 40 patients including those with a broad range of histologic (Vh:Cd ratio ≤ 2.5) and symptom severity to further inform future development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Enrollment ongoing with top-line Cohort 2 data anticipated in Q1 2027</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Phase 1b trial in EoE ongoing</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50-patient cohort assessing one dose level of subcutaneously administered ANB033 vs. placebo (randomized 1:1) through 12 weeks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Top-line Phase 1b data anticipated in Q3 2027</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Plan to initiate Phase 2 trials in two additional indications in H1 2027</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ANB101 (BDCA2 modulator)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Phase 1a trial in healthy volunteers completed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Currently evaluating potential development approach informed by clinical and translational evidence, as well as competitor registrational data in systemic lupus erythematosus (SLE) and cutaneous lupus erythematosus (CLE) anticipated in Q4 2026 and early 2027, respectively</w:t>
      </w:r>
    </w:p>
    <w:p>
      <w:pPr>
        <w:pStyle w:val="TextBody"/>
        <w:bidi w:val="0"/>
        <w:jc w:val="left"/>
        <w:rPr>
          <w:rFonts w:ascii="Times New Roman" w:hAnsi="Times New Roman"/>
          <w:b/>
          <w:color w:val="000000"/>
          <w:sz w:val="22"/>
        </w:rPr>
      </w:pPr>
      <w:r>
        <w:rPr>
          <w:rFonts w:ascii="Times New Roman" w:hAnsi="Times New Roman"/>
          <w:b/>
          <w:color w:val="000000"/>
          <w:sz w:val="22"/>
        </w:rPr>
        <w:t>Rosnilimab (Pathogenic T cell depleter)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Currently assessing ROE-maximizing strategic options to progress the potential development of rosnilimab in rheumatoid arthritis (RA) and other indications</w:t>
      </w:r>
    </w:p>
    <w:p>
      <w:pPr>
        <w:pStyle w:val="TextBody"/>
        <w:bidi w:val="0"/>
        <w:jc w:val="left"/>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separation of AnaptysBio and First Tracks Biotherapeutics was completed on April 20, 2026. As a result, from January 1, 2026 to April 19, 2026 and the three and six months ended June 30, 2025, the financial results include assets, liabilities and expenses related to both companies. The combined financial statements reflect allocations of certain expenses from the financial statements of Anaptys including research and development expenses and administrative expenses. These allocations include, but are not limited to, executive management, employee compensation and benefits, facilities and operations, information technology, business development, financial services (such as accounting, audit, and tax), legal, insurance and stock-based compensation.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Cash, cash equivalents and investments totaled $168.0 million as of June 30,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Research and development expenses were $25.6 million and $59.6 million for the three and six months ended June 30, 2026, compared to $39.3 million and $80.7 million for the three and six months ended June 30, 2025. The decrease for the three and six months ended June 30, 2026 was primarily due to decreased development costs for rosnilimab and ANB032 offset by increased costs relating to the Phase 1 trials for ANB033.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General and administrative expenses were $9.3 million and $28.1 million for the three and six months ended June 30, 2026, compared to $6.6 million and $16.4 for the three and six months ended June 30, 2025. The increase was due primarily to the allocation of legal costs for the separation of the company.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Net loss was $33.4 million and $83.9 million for the three and six months ended June 30, 2026, or a net loss per share of $0.95 and $2.40, compared to a net loss of $42.4 million and $89.6 million for the three and six months ended June 30, 2025, or a net loss per share of $1.47 and $3.02.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About First Tracks Biotherapeutics</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First Tracks Biotherapeutics is a clinical stage biotechnology company advancing antibody therapies that modulate immune pathways implicated in autoimmune and inflammatory diseases. Its pipeline includes ANB033, a CD122 antagonist in development for celiac disease and eosinophilic esophagitis; rosnilimab, a pathogenic T cell depleter in development for rheumatoid arthritis; and ANB101, a BDCA2 modulator. To learn more, visit </w:t>
      </w:r>
      <w:r>
        <w:rPr>
          <w:rFonts w:ascii="Times New Roman" w:hAnsi="Times New Roman"/>
          <w:sz w:val="22"/>
        </w:rPr>
        <w:t>www.FirstTracksBio.com</w:t>
      </w:r>
      <w:r>
        <w:rPr>
          <w:rFonts w:ascii="Times New Roman" w:hAnsi="Times New Roman"/>
          <w:color w:val="000000"/>
          <w:sz w:val="20"/>
        </w:rPr>
        <w:t xml:space="preserve"> </w:t>
      </w:r>
      <w:r>
        <w:rPr>
          <w:rFonts w:ascii="Times New Roman" w:hAnsi="Times New Roman"/>
          <w:color w:val="000000"/>
          <w:sz w:val="22"/>
        </w:rPr>
        <w:t xml:space="preserve">or follow us on </w:t>
      </w:r>
      <w:r>
        <w:rPr>
          <w:rFonts w:ascii="Times New Roman" w:hAnsi="Times New Roman"/>
          <w:sz w:val="22"/>
        </w:rPr>
        <w:t>LinkedIn</w:t>
      </w:r>
      <w:r>
        <w:rPr>
          <w:rFonts w:ascii="Times New Roman" w:hAnsi="Times New Roman"/>
          <w:color w:val="000000"/>
          <w:sz w:val="22"/>
        </w:rPr>
        <w:t>.</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“safe harbor” provisions of the Private Securities Litigation Reform Act of 1995, including, but not limited to: the timing of the release of data from the Company’s clinical trials, including initial data from ANB033's Phase 1b clinical trial in celiac disease and initial data from ANB033's Phase 1b clinical trial in eosinophilic esophagitis; potential benefits, efficacy, and safety profile of the Company’s product candidates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00"/>
          <w:sz w:val="22"/>
        </w:rPr>
      </w:pPr>
      <w:r>
        <w:rPr>
          <w:rFonts w:ascii="Times New Roman" w:hAnsi="Times New Roman"/>
          <w:color w:val="000000"/>
          <w:sz w:val="22"/>
        </w:rPr>
        <w:t>Nick Montemarano</w:t>
      </w:r>
    </w:p>
    <w:p>
      <w:pPr>
        <w:pStyle w:val="TextBody"/>
        <w:bidi w:val="0"/>
        <w:jc w:val="left"/>
        <w:rPr>
          <w:rFonts w:ascii="Times New Roman" w:hAnsi="Times New Roman"/>
          <w:color w:val="000000"/>
          <w:sz w:val="22"/>
        </w:rPr>
      </w:pPr>
      <w:r>
        <w:rPr>
          <w:rFonts w:ascii="Times New Roman" w:hAnsi="Times New Roman"/>
          <w:color w:val="000000"/>
          <w:sz w:val="22"/>
        </w:rPr>
        <w:t>Vice President, Investor Relations</w:t>
      </w:r>
    </w:p>
    <w:p>
      <w:pPr>
        <w:pStyle w:val="TextBody"/>
        <w:bidi w:val="0"/>
        <w:jc w:val="left"/>
        <w:rPr>
          <w:rFonts w:ascii="Times New Roman" w:hAnsi="Times New Roman"/>
          <w:color w:val="000000"/>
          <w:sz w:val="22"/>
        </w:rPr>
      </w:pPr>
      <w:r>
        <w:rPr>
          <w:rFonts w:ascii="Times New Roman" w:hAnsi="Times New Roman"/>
          <w:color w:val="000000"/>
          <w:sz w:val="22"/>
        </w:rPr>
        <w:t>858.732.0178</w:t>
      </w:r>
    </w:p>
    <w:p>
      <w:pPr>
        <w:pStyle w:val="TextBody"/>
        <w:bidi w:val="0"/>
        <w:jc w:val="left"/>
        <w:rPr>
          <w:rFonts w:ascii="Times New Roman" w:hAnsi="Times New Roman"/>
          <w:sz w:val="20"/>
        </w:rPr>
      </w:pPr>
      <w:r>
        <w:rPr>
          <w:rFonts w:ascii="Times New Roman" w:hAnsi="Times New Roman"/>
          <w:color w:val="0563C1"/>
          <w:sz w:val="22"/>
        </w:rPr>
        <w:t>investors@firsttracksbio.com</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First Tracks Biotherapeutics,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69"/>
        <w:gridCol w:w="146"/>
        <w:gridCol w:w="219"/>
        <w:gridCol w:w="814"/>
        <w:gridCol w:w="166"/>
        <w:gridCol w:w="146"/>
        <w:gridCol w:w="245"/>
        <w:gridCol w:w="907"/>
        <w:gridCol w:w="793"/>
      </w:tblGrid>
      <w:tr>
        <w:trPr/>
        <w:tc>
          <w:tcPr>
            <w:tcW w:w="6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and no shares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500,000,000 shares authorized and 35,390,679 shares issued and outstanding at June 30, 2026 and 100 shares authorized and no shares, issued or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former parent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287,490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First Tracks Biotherapeutics,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36"/>
        <w:gridCol w:w="166"/>
        <w:gridCol w:w="146"/>
        <w:gridCol w:w="211"/>
        <w:gridCol w:w="736"/>
        <w:gridCol w:w="166"/>
        <w:gridCol w:w="146"/>
        <w:gridCol w:w="211"/>
        <w:gridCol w:w="736"/>
        <w:gridCol w:w="166"/>
        <w:gridCol w:w="146"/>
        <w:gridCol w:w="211"/>
        <w:gridCol w:w="736"/>
        <w:gridCol w:w="1011"/>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0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2216</Words>
  <Characters>12397</Characters>
  <CharactersWithSpaces>14734</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